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7BFC7C7B" w:rsidR="00BF36B0" w:rsidRPr="00DD7BD7" w:rsidRDefault="002058B5" w:rsidP="00BF36B0">
      <w:pPr>
        <w:tabs>
          <w:tab w:val="left" w:pos="360"/>
          <w:tab w:val="left" w:pos="720"/>
        </w:tabs>
        <w:autoSpaceDE w:val="0"/>
        <w:autoSpaceDN w:val="0"/>
        <w:adjustRightInd w:val="0"/>
        <w:jc w:val="center"/>
        <w:rPr>
          <w:color w:val="auto"/>
        </w:rPr>
      </w:pPr>
      <w:r>
        <w:rPr>
          <w:color w:val="auto"/>
        </w:rPr>
        <w:t>October 16th</w:t>
      </w:r>
      <w:r w:rsidR="0086319C">
        <w:rPr>
          <w:color w:val="auto"/>
        </w:rPr>
        <w:t>, 202</w:t>
      </w:r>
      <w:r w:rsidR="006E51FE">
        <w:rPr>
          <w:color w:val="auto"/>
        </w:rPr>
        <w:t>4</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424134EB"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Stephen Williams, MEd, MPA</w:t>
      </w:r>
      <w:r w:rsidR="0073162D">
        <w:rPr>
          <w:color w:val="auto"/>
        </w:rPr>
        <w:t xml:space="preserve"> </w:t>
      </w:r>
      <w:r w:rsidR="0073162D" w:rsidRPr="0073162D">
        <w:rPr>
          <w:color w:val="auto"/>
        </w:rPr>
        <w:t>–</w:t>
      </w:r>
      <w:r w:rsidR="0073162D">
        <w:rPr>
          <w:color w:val="auto"/>
        </w:rPr>
        <w:t xml:space="preserve"> </w:t>
      </w:r>
      <w:r w:rsidRPr="00493588">
        <w:rPr>
          <w:color w:val="auto"/>
        </w:rPr>
        <w:t>Houston Health Department – Chair</w:t>
      </w:r>
    </w:p>
    <w:p w14:paraId="4CBDC71E" w14:textId="77777777" w:rsidR="00BF36B0" w:rsidRPr="00493588" w:rsidRDefault="00BF36B0" w:rsidP="00BF36B0">
      <w:pPr>
        <w:tabs>
          <w:tab w:val="right" w:leader="dot" w:pos="10224"/>
        </w:tabs>
        <w:autoSpaceDE w:val="0"/>
        <w:autoSpaceDN w:val="0"/>
        <w:adjustRightInd w:val="0"/>
        <w:rPr>
          <w:color w:val="auto"/>
          <w:u w:val="single"/>
        </w:rPr>
      </w:pPr>
      <w:r w:rsidRPr="00493588">
        <w:rPr>
          <w:color w:val="auto"/>
        </w:rPr>
        <w:t xml:space="preserve">Jennifer Griffith, DrPH, MPH </w:t>
      </w:r>
      <w:bookmarkStart w:id="0" w:name="_Hlk171586434"/>
      <w:r w:rsidRPr="00493588">
        <w:rPr>
          <w:color w:val="auto"/>
        </w:rPr>
        <w:t>–</w:t>
      </w:r>
      <w:bookmarkEnd w:id="0"/>
      <w:r w:rsidRPr="00493588">
        <w:rPr>
          <w:color w:val="auto"/>
        </w:rPr>
        <w:t xml:space="preserve"> Texas A&amp;M University</w:t>
      </w:r>
    </w:p>
    <w:p w14:paraId="278CA23E" w14:textId="77777777" w:rsidR="00BF36B0" w:rsidRPr="00205799" w:rsidRDefault="00BF36B0" w:rsidP="00BF36B0">
      <w:pPr>
        <w:tabs>
          <w:tab w:val="left" w:pos="360"/>
          <w:tab w:val="left" w:pos="720"/>
          <w:tab w:val="right" w:leader="dot" w:pos="10224"/>
        </w:tabs>
        <w:autoSpaceDE w:val="0"/>
        <w:autoSpaceDN w:val="0"/>
        <w:adjustRightInd w:val="0"/>
        <w:rPr>
          <w:color w:val="auto"/>
        </w:rPr>
      </w:pPr>
      <w:r w:rsidRPr="00205799">
        <w:rPr>
          <w:color w:val="auto"/>
        </w:rPr>
        <w:t>Julie St. John, DrPH – Texas Tech University</w:t>
      </w:r>
    </w:p>
    <w:p w14:paraId="5938DDEB"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Lisa Dick, Brownwood-Brown County Health Department</w:t>
      </w:r>
    </w:p>
    <w:p w14:paraId="75A65F74"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Melville, MD, MPH – DSHS, Public Health Region 7</w:t>
      </w:r>
    </w:p>
    <w:p w14:paraId="0AA8D23D"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Whitley – Hardin County Health Department</w:t>
      </w:r>
    </w:p>
    <w:p w14:paraId="0996339F" w14:textId="074CF959"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 xml:space="preserve">Todd Bell, MD – Amarillo </w:t>
      </w:r>
      <w:r w:rsidR="002F747F">
        <w:rPr>
          <w:color w:val="auto"/>
        </w:rPr>
        <w:t xml:space="preserve">Public </w:t>
      </w:r>
      <w:r w:rsidRPr="00493588">
        <w:rPr>
          <w:color w:val="auto"/>
        </w:rPr>
        <w:t>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06455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076461F0" w:rsidR="00BF36B0" w:rsidRPr="00F97C46" w:rsidRDefault="00512CFC" w:rsidP="008923D7">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133CEC" w:rsidRPr="00F97C46">
              <w:rPr>
                <w:b w:val="0"/>
                <w:bCs w:val="0"/>
                <w:color w:val="auto"/>
                <w:sz w:val="20"/>
                <w:szCs w:val="20"/>
              </w:rPr>
              <w:t>Lillian Peake</w:t>
            </w:r>
          </w:p>
        </w:tc>
        <w:tc>
          <w:tcPr>
            <w:tcW w:w="3117" w:type="dxa"/>
            <w:vAlign w:val="bottom"/>
          </w:tcPr>
          <w:p w14:paraId="60184254" w14:textId="2E580941" w:rsidR="00133CEC" w:rsidRPr="003932B0" w:rsidRDefault="00133CEC" w:rsidP="008923D7">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FF0000"/>
                <w:sz w:val="20"/>
                <w:szCs w:val="20"/>
              </w:rPr>
            </w:pPr>
          </w:p>
        </w:tc>
        <w:tc>
          <w:tcPr>
            <w:tcW w:w="3117" w:type="dxa"/>
            <w:vAlign w:val="bottom"/>
          </w:tcPr>
          <w:p w14:paraId="1DB58675" w14:textId="7574C5C4" w:rsidR="00BF36B0" w:rsidRPr="006E51FE" w:rsidRDefault="00BF36B0" w:rsidP="00064558">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FF0000"/>
                <w:sz w:val="20"/>
                <w:szCs w:val="20"/>
              </w:rPr>
            </w:pPr>
          </w:p>
        </w:tc>
      </w:tr>
      <w:tr w:rsidR="00BF36B0" w14:paraId="0B10412B"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13D5254F" w:rsidR="00BF36B0" w:rsidRPr="00F97C46" w:rsidRDefault="00246629" w:rsidP="008923D7">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133CEC" w:rsidRPr="00F97C46">
              <w:rPr>
                <w:b w:val="0"/>
                <w:bCs w:val="0"/>
                <w:color w:val="auto"/>
                <w:sz w:val="20"/>
                <w:szCs w:val="20"/>
              </w:rPr>
              <w:t>Scott Milton</w:t>
            </w:r>
          </w:p>
        </w:tc>
        <w:tc>
          <w:tcPr>
            <w:tcW w:w="3117" w:type="dxa"/>
            <w:vAlign w:val="bottom"/>
          </w:tcPr>
          <w:p w14:paraId="6799E36A" w14:textId="3E7309EE" w:rsidR="00BF36B0" w:rsidRPr="006E51FE" w:rsidRDefault="00BF36B0" w:rsidP="008923D7">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15B63B5E" w14:textId="2AAF6F11"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06FAD18B"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2CEA956C" w:rsidR="00BF36B0" w:rsidRPr="00F97C46" w:rsidRDefault="006603E7"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George Roberts</w:t>
            </w:r>
          </w:p>
        </w:tc>
        <w:tc>
          <w:tcPr>
            <w:tcW w:w="3117" w:type="dxa"/>
            <w:vAlign w:val="bottom"/>
          </w:tcPr>
          <w:p w14:paraId="7A1A4A08" w14:textId="5E50C40E" w:rsidR="00BF36B0" w:rsidRPr="00162908" w:rsidRDefault="00BF36B0" w:rsidP="008923D7">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5D970DD7" w14:textId="10DF929F"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094564B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3C8380F1" w:rsidR="003A6687" w:rsidRPr="00F97C46" w:rsidRDefault="006603E7" w:rsidP="008923D7">
            <w:pPr>
              <w:tabs>
                <w:tab w:val="left" w:pos="360"/>
                <w:tab w:val="left" w:pos="720"/>
                <w:tab w:val="right" w:leader="dot" w:pos="10224"/>
              </w:tabs>
              <w:autoSpaceDE w:val="0"/>
              <w:autoSpaceDN w:val="0"/>
              <w:adjustRightInd w:val="0"/>
              <w:rPr>
                <w:b w:val="0"/>
                <w:bCs w:val="0"/>
                <w:color w:val="auto"/>
                <w:sz w:val="20"/>
                <w:szCs w:val="20"/>
              </w:rPr>
            </w:pPr>
            <w:proofErr w:type="spellStart"/>
            <w:r w:rsidRPr="00F97C46">
              <w:rPr>
                <w:b w:val="0"/>
                <w:bCs w:val="0"/>
                <w:color w:val="auto"/>
                <w:sz w:val="20"/>
                <w:szCs w:val="20"/>
              </w:rPr>
              <w:t>Shauntel</w:t>
            </w:r>
            <w:proofErr w:type="spellEnd"/>
            <w:r w:rsidRPr="00F97C46">
              <w:rPr>
                <w:b w:val="0"/>
                <w:bCs w:val="0"/>
                <w:color w:val="auto"/>
                <w:sz w:val="20"/>
                <w:szCs w:val="20"/>
              </w:rPr>
              <w:t xml:space="preserve"> Wright</w:t>
            </w:r>
          </w:p>
        </w:tc>
        <w:tc>
          <w:tcPr>
            <w:tcW w:w="3117" w:type="dxa"/>
            <w:vAlign w:val="bottom"/>
          </w:tcPr>
          <w:p w14:paraId="0554F544" w14:textId="5B7E29B2" w:rsidR="00BF36B0" w:rsidRPr="009A6188" w:rsidRDefault="00BF36B0" w:rsidP="008923D7">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3117" w:type="dxa"/>
            <w:vAlign w:val="bottom"/>
          </w:tcPr>
          <w:p w14:paraId="2751D42C" w14:textId="21BB2BAF"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91194D5"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7304F9F9" w:rsidR="00BF36B0" w:rsidRPr="00F97C46" w:rsidRDefault="003A6687"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Josh Hutchison</w:t>
            </w:r>
          </w:p>
        </w:tc>
        <w:tc>
          <w:tcPr>
            <w:tcW w:w="3117" w:type="dxa"/>
            <w:vAlign w:val="bottom"/>
          </w:tcPr>
          <w:p w14:paraId="36118779" w14:textId="12127EFD" w:rsidR="00BF36B0" w:rsidRPr="00162908" w:rsidRDefault="00BF36B0" w:rsidP="009E5CE6">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117" w:type="dxa"/>
            <w:vAlign w:val="bottom"/>
          </w:tcPr>
          <w:p w14:paraId="5986F27D" w14:textId="0375ADF6"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2EC23C38"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29C17A4A" w:rsidR="003A6687" w:rsidRPr="00F97C46" w:rsidRDefault="00512CFC" w:rsidP="008923D7">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3A6687" w:rsidRPr="00F97C46">
              <w:rPr>
                <w:b w:val="0"/>
                <w:bCs w:val="0"/>
                <w:color w:val="auto"/>
                <w:sz w:val="20"/>
                <w:szCs w:val="20"/>
              </w:rPr>
              <w:t>Sai Bala</w:t>
            </w:r>
          </w:p>
        </w:tc>
        <w:tc>
          <w:tcPr>
            <w:tcW w:w="3117" w:type="dxa"/>
            <w:vAlign w:val="bottom"/>
          </w:tcPr>
          <w:p w14:paraId="3F7AD6A3" w14:textId="6A9E63E8" w:rsidR="00BF36B0" w:rsidRPr="006E51FE" w:rsidRDefault="00BF36B0" w:rsidP="00897E74">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6688F23F" w14:textId="03364EF0"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6B2F3164"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273FA6C8" w:rsidR="00BF36B0" w:rsidRPr="00F97C46" w:rsidRDefault="00512CFC" w:rsidP="008923D7">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3A6687" w:rsidRPr="00F97C46">
              <w:rPr>
                <w:b w:val="0"/>
                <w:bCs w:val="0"/>
                <w:color w:val="auto"/>
                <w:sz w:val="20"/>
                <w:szCs w:val="20"/>
              </w:rPr>
              <w:t>Varun Shetty</w:t>
            </w:r>
          </w:p>
        </w:tc>
        <w:tc>
          <w:tcPr>
            <w:tcW w:w="3117" w:type="dxa"/>
            <w:vAlign w:val="bottom"/>
          </w:tcPr>
          <w:p w14:paraId="7984A1FA" w14:textId="7F3818C1"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7046E795" w14:textId="0352168F"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5238758D"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0F45E85A" w:rsidR="00BF36B0" w:rsidRPr="00F97C46" w:rsidRDefault="00EE0932"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Alma Allen Johnson</w:t>
            </w:r>
          </w:p>
        </w:tc>
        <w:tc>
          <w:tcPr>
            <w:tcW w:w="3117" w:type="dxa"/>
            <w:vAlign w:val="bottom"/>
          </w:tcPr>
          <w:p w14:paraId="29F3F7E5" w14:textId="64F0F930"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0F79E44F" w14:textId="261A95C9"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1663C791"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5EE33CD9" w:rsidR="00BF36B0" w:rsidRPr="00F97C46" w:rsidRDefault="00EE0932"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 xml:space="preserve">Abbey </w:t>
            </w:r>
            <w:proofErr w:type="spellStart"/>
            <w:r w:rsidRPr="00F97C46">
              <w:rPr>
                <w:b w:val="0"/>
                <w:bCs w:val="0"/>
                <w:color w:val="auto"/>
                <w:sz w:val="20"/>
                <w:szCs w:val="20"/>
              </w:rPr>
              <w:t>Melick</w:t>
            </w:r>
            <w:proofErr w:type="spellEnd"/>
          </w:p>
        </w:tc>
        <w:tc>
          <w:tcPr>
            <w:tcW w:w="3117" w:type="dxa"/>
            <w:vAlign w:val="bottom"/>
          </w:tcPr>
          <w:p w14:paraId="0C01C519" w14:textId="5E70EE47"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3AF2F9BE" w14:textId="0B9496FC"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14D107A7"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7E2D6223" w:rsidR="00BF36B0" w:rsidRPr="00F97C46" w:rsidRDefault="008B2565"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Ka</w:t>
            </w:r>
            <w:r w:rsidR="00246629">
              <w:rPr>
                <w:b w:val="0"/>
                <w:bCs w:val="0"/>
                <w:color w:val="auto"/>
                <w:sz w:val="20"/>
                <w:szCs w:val="20"/>
              </w:rPr>
              <w:t>therine</w:t>
            </w:r>
            <w:r w:rsidRPr="00F97C46">
              <w:rPr>
                <w:b w:val="0"/>
                <w:bCs w:val="0"/>
                <w:color w:val="auto"/>
                <w:sz w:val="20"/>
                <w:szCs w:val="20"/>
              </w:rPr>
              <w:t xml:space="preserve"> Wells</w:t>
            </w:r>
          </w:p>
        </w:tc>
        <w:tc>
          <w:tcPr>
            <w:tcW w:w="3117" w:type="dxa"/>
            <w:vAlign w:val="bottom"/>
          </w:tcPr>
          <w:p w14:paraId="4A83FAD5" w14:textId="0A23226E"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443A8A1B" w14:textId="2D72047E"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10CF5739"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7B6901F1" w:rsidR="00BF36B0" w:rsidRPr="00F97C46" w:rsidRDefault="008B2565"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Christina Kubenka</w:t>
            </w:r>
          </w:p>
        </w:tc>
        <w:tc>
          <w:tcPr>
            <w:tcW w:w="3117" w:type="dxa"/>
            <w:vAlign w:val="bottom"/>
          </w:tcPr>
          <w:p w14:paraId="73731C35" w14:textId="0C560B6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220E11D8" w14:textId="00EC8279"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26AD83B2"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2DED9588" w:rsidR="00BF36B0" w:rsidRPr="00F97C46" w:rsidRDefault="008B2565"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 xml:space="preserve">Laura </w:t>
            </w:r>
            <w:proofErr w:type="spellStart"/>
            <w:r w:rsidRPr="00F97C46">
              <w:rPr>
                <w:b w:val="0"/>
                <w:bCs w:val="0"/>
                <w:color w:val="auto"/>
                <w:sz w:val="20"/>
                <w:szCs w:val="20"/>
              </w:rPr>
              <w:t>Ryon</w:t>
            </w:r>
            <w:proofErr w:type="spellEnd"/>
          </w:p>
        </w:tc>
        <w:tc>
          <w:tcPr>
            <w:tcW w:w="3117" w:type="dxa"/>
            <w:vAlign w:val="bottom"/>
          </w:tcPr>
          <w:p w14:paraId="4BB1A775" w14:textId="7AC2536E"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79720818" w14:textId="5BFFADFB"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B98A406"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1EBDCE47" w:rsidR="00BF36B0" w:rsidRPr="00F97C46" w:rsidRDefault="008B2565"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Glenna Laughlin</w:t>
            </w:r>
          </w:p>
        </w:tc>
        <w:tc>
          <w:tcPr>
            <w:tcW w:w="3117" w:type="dxa"/>
            <w:vAlign w:val="bottom"/>
          </w:tcPr>
          <w:p w14:paraId="087E5021" w14:textId="197911B3"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70D4B7B6" w14:textId="0C079202"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11692F5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51A88E9F" w:rsidR="00BF36B0" w:rsidRPr="00F97C46" w:rsidRDefault="008B2565"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Micha</w:t>
            </w:r>
            <w:r w:rsidR="00F57C61">
              <w:rPr>
                <w:b w:val="0"/>
                <w:bCs w:val="0"/>
                <w:color w:val="auto"/>
                <w:sz w:val="20"/>
                <w:szCs w:val="20"/>
              </w:rPr>
              <w:t>e</w:t>
            </w:r>
            <w:r w:rsidRPr="00F97C46">
              <w:rPr>
                <w:b w:val="0"/>
                <w:bCs w:val="0"/>
                <w:color w:val="auto"/>
                <w:sz w:val="20"/>
                <w:szCs w:val="20"/>
              </w:rPr>
              <w:t>l Comfort</w:t>
            </w:r>
          </w:p>
        </w:tc>
        <w:tc>
          <w:tcPr>
            <w:tcW w:w="3117" w:type="dxa"/>
            <w:vAlign w:val="bottom"/>
          </w:tcPr>
          <w:p w14:paraId="40202502" w14:textId="66B350C4"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2C3892EC" w14:textId="54A8B1A1"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9D88E0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61705362" w:rsidR="00BF36B0" w:rsidRPr="00F97C46" w:rsidRDefault="008B2565"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 xml:space="preserve">Noah </w:t>
            </w:r>
            <w:r w:rsidR="00385926" w:rsidRPr="00F97C46">
              <w:rPr>
                <w:b w:val="0"/>
                <w:bCs w:val="0"/>
                <w:color w:val="auto"/>
                <w:sz w:val="20"/>
                <w:szCs w:val="20"/>
              </w:rPr>
              <w:t>Chornyak</w:t>
            </w:r>
          </w:p>
        </w:tc>
        <w:tc>
          <w:tcPr>
            <w:tcW w:w="3117" w:type="dxa"/>
            <w:vAlign w:val="bottom"/>
          </w:tcPr>
          <w:p w14:paraId="55B90CDC" w14:textId="082E62E5"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372F3A33" w14:textId="485D8C60"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2983A8BF"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497BA9F9" w:rsidR="00BF36B0" w:rsidRPr="00F97C46" w:rsidRDefault="00385926" w:rsidP="008923D7">
            <w:pPr>
              <w:tabs>
                <w:tab w:val="left" w:pos="360"/>
                <w:tab w:val="left" w:pos="720"/>
                <w:tab w:val="right" w:leader="dot" w:pos="10224"/>
              </w:tabs>
              <w:autoSpaceDE w:val="0"/>
              <w:autoSpaceDN w:val="0"/>
              <w:adjustRightInd w:val="0"/>
              <w:rPr>
                <w:b w:val="0"/>
                <w:bCs w:val="0"/>
                <w:color w:val="auto"/>
                <w:sz w:val="20"/>
                <w:szCs w:val="20"/>
              </w:rPr>
            </w:pPr>
            <w:r w:rsidRPr="00F97C46">
              <w:rPr>
                <w:b w:val="0"/>
                <w:bCs w:val="0"/>
                <w:color w:val="auto"/>
                <w:sz w:val="20"/>
                <w:szCs w:val="20"/>
              </w:rPr>
              <w:t>Crystal Biggs</w:t>
            </w:r>
            <w:r w:rsidR="00246629">
              <w:rPr>
                <w:b w:val="0"/>
                <w:bCs w:val="0"/>
                <w:color w:val="auto"/>
                <w:sz w:val="20"/>
                <w:szCs w:val="20"/>
              </w:rPr>
              <w:t>-Pope</w:t>
            </w:r>
          </w:p>
        </w:tc>
        <w:tc>
          <w:tcPr>
            <w:tcW w:w="3117" w:type="dxa"/>
            <w:vAlign w:val="bottom"/>
          </w:tcPr>
          <w:p w14:paraId="450E7A11" w14:textId="419E1300"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76DC74D" w14:textId="7694B00C"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294791A0"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F60DA2B" w:rsidR="00BF36B0" w:rsidRPr="005368A0" w:rsidRDefault="005368A0" w:rsidP="008923D7">
            <w:pPr>
              <w:tabs>
                <w:tab w:val="left" w:pos="360"/>
                <w:tab w:val="left" w:pos="720"/>
                <w:tab w:val="right" w:leader="dot" w:pos="10224"/>
              </w:tabs>
              <w:autoSpaceDE w:val="0"/>
              <w:autoSpaceDN w:val="0"/>
              <w:adjustRightInd w:val="0"/>
              <w:rPr>
                <w:b w:val="0"/>
                <w:bCs w:val="0"/>
                <w:color w:val="auto"/>
                <w:sz w:val="20"/>
                <w:szCs w:val="20"/>
              </w:rPr>
            </w:pPr>
            <w:r w:rsidRPr="005368A0">
              <w:rPr>
                <w:b w:val="0"/>
                <w:bCs w:val="0"/>
                <w:color w:val="auto"/>
                <w:sz w:val="20"/>
                <w:szCs w:val="20"/>
              </w:rPr>
              <w:t>John Chacon</w:t>
            </w:r>
          </w:p>
        </w:tc>
        <w:tc>
          <w:tcPr>
            <w:tcW w:w="3117" w:type="dxa"/>
            <w:vAlign w:val="bottom"/>
          </w:tcPr>
          <w:p w14:paraId="3F30DD0B" w14:textId="520E56EB"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509CC53D" w14:textId="4132B9CA"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66467F9C"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433C788F" w:rsidR="00BF36B0" w:rsidRPr="009A6188" w:rsidRDefault="00E87402" w:rsidP="008923D7">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Dana </w:t>
            </w:r>
            <w:proofErr w:type="spellStart"/>
            <w:r>
              <w:rPr>
                <w:b w:val="0"/>
                <w:bCs w:val="0"/>
                <w:color w:val="auto"/>
                <w:sz w:val="20"/>
                <w:szCs w:val="20"/>
              </w:rPr>
              <w:t>Bimberg</w:t>
            </w:r>
            <w:proofErr w:type="spellEnd"/>
          </w:p>
        </w:tc>
        <w:tc>
          <w:tcPr>
            <w:tcW w:w="3117" w:type="dxa"/>
            <w:vAlign w:val="bottom"/>
          </w:tcPr>
          <w:p w14:paraId="58374E0C" w14:textId="4CB0A6B1"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CB9FDB2" w14:textId="0B295BBA"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50671E6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457F8482" w:rsidR="00BF36B0" w:rsidRPr="001C727A" w:rsidRDefault="00E87402" w:rsidP="008923D7">
            <w:pPr>
              <w:tabs>
                <w:tab w:val="left" w:pos="360"/>
                <w:tab w:val="left" w:pos="720"/>
                <w:tab w:val="right" w:leader="dot" w:pos="10224"/>
              </w:tabs>
              <w:autoSpaceDE w:val="0"/>
              <w:autoSpaceDN w:val="0"/>
              <w:adjustRightInd w:val="0"/>
              <w:rPr>
                <w:b w:val="0"/>
                <w:bCs w:val="0"/>
                <w:color w:val="auto"/>
                <w:sz w:val="20"/>
                <w:szCs w:val="20"/>
              </w:rPr>
            </w:pPr>
            <w:r w:rsidRPr="001C727A">
              <w:rPr>
                <w:b w:val="0"/>
                <w:bCs w:val="0"/>
                <w:color w:val="auto"/>
                <w:sz w:val="20"/>
                <w:szCs w:val="20"/>
              </w:rPr>
              <w:t>Aelia Akhtar</w:t>
            </w:r>
          </w:p>
        </w:tc>
        <w:tc>
          <w:tcPr>
            <w:tcW w:w="3117" w:type="dxa"/>
            <w:vAlign w:val="bottom"/>
          </w:tcPr>
          <w:p w14:paraId="76D644A6" w14:textId="4C28498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15148CB8" w14:textId="2FF7B004"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BF36B0" w14:paraId="0DEA9275"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4450C7CA" w:rsidR="00BF36B0" w:rsidRPr="00AF0E3B" w:rsidRDefault="00CA00A3" w:rsidP="008923D7">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00381865" w:rsidRPr="00AF0E3B">
              <w:rPr>
                <w:b w:val="0"/>
                <w:bCs w:val="0"/>
                <w:color w:val="auto"/>
                <w:sz w:val="20"/>
                <w:szCs w:val="20"/>
              </w:rPr>
              <w:t>Cristina Garcia</w:t>
            </w:r>
          </w:p>
        </w:tc>
        <w:tc>
          <w:tcPr>
            <w:tcW w:w="3117" w:type="dxa"/>
            <w:vAlign w:val="bottom"/>
          </w:tcPr>
          <w:p w14:paraId="6A0586F1" w14:textId="502F975F"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7116ACA8" w14:textId="40993268" w:rsidR="00BF36B0" w:rsidRPr="006E51FE" w:rsidRDefault="00BF36B0" w:rsidP="00064558">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BF36B0" w14:paraId="70D1EC86"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3BA583B1" w:rsidR="00BF36B0" w:rsidRPr="00AF0E3B" w:rsidRDefault="00336DD4" w:rsidP="008923D7">
            <w:pPr>
              <w:tabs>
                <w:tab w:val="left" w:pos="360"/>
                <w:tab w:val="left" w:pos="720"/>
                <w:tab w:val="right" w:leader="dot" w:pos="10224"/>
              </w:tabs>
              <w:autoSpaceDE w:val="0"/>
              <w:autoSpaceDN w:val="0"/>
              <w:adjustRightInd w:val="0"/>
              <w:rPr>
                <w:b w:val="0"/>
                <w:bCs w:val="0"/>
                <w:color w:val="FF0000"/>
                <w:sz w:val="20"/>
                <w:szCs w:val="20"/>
              </w:rPr>
            </w:pPr>
            <w:r w:rsidRPr="00814589">
              <w:rPr>
                <w:b w:val="0"/>
                <w:bCs w:val="0"/>
                <w:color w:val="auto"/>
                <w:sz w:val="20"/>
                <w:szCs w:val="20"/>
              </w:rPr>
              <w:t>Mohib Nawab</w:t>
            </w:r>
          </w:p>
        </w:tc>
        <w:tc>
          <w:tcPr>
            <w:tcW w:w="3117" w:type="dxa"/>
            <w:vAlign w:val="bottom"/>
          </w:tcPr>
          <w:p w14:paraId="7E2DDA17" w14:textId="4CCEFE50"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4014962C" w14:textId="77777777" w:rsidR="00BF36B0" w:rsidRPr="006E51FE" w:rsidRDefault="00BF36B0" w:rsidP="00064558">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bl>
    <w:p w14:paraId="6D079C4D" w14:textId="77777777" w:rsidR="00BC30BC" w:rsidRDefault="00BC30BC" w:rsidP="00BF36B0">
      <w:pPr>
        <w:rPr>
          <w:color w:val="auto"/>
        </w:rPr>
      </w:pPr>
    </w:p>
    <w:p w14:paraId="015FF62B" w14:textId="668344E4" w:rsidR="00EE711A" w:rsidRPr="00EE711A" w:rsidRDefault="00D61A81" w:rsidP="00EE711A">
      <w:pPr>
        <w:rPr>
          <w:color w:val="auto"/>
        </w:rPr>
      </w:pPr>
      <w:r w:rsidRPr="00D61A81">
        <w:rPr>
          <w:color w:val="auto"/>
        </w:rPr>
        <w:t xml:space="preserve">Chair, Mr. Stephen Williams, called the meeting to order at </w:t>
      </w:r>
      <w:r w:rsidR="00EE711A" w:rsidRPr="00D61A81">
        <w:rPr>
          <w:color w:val="auto"/>
        </w:rPr>
        <w:t>9:02 a.m. and the committee members present proceeded to introduce themselves.</w:t>
      </w:r>
    </w:p>
    <w:p w14:paraId="0B74B98B" w14:textId="77777777" w:rsidR="00BF36B0" w:rsidRPr="00DC761C" w:rsidRDefault="00BF36B0" w:rsidP="00BF36B0">
      <w:pPr>
        <w:rPr>
          <w:color w:val="auto"/>
        </w:rPr>
      </w:pPr>
    </w:p>
    <w:p w14:paraId="2EB8AC86" w14:textId="77777777" w:rsidR="00DE1286" w:rsidRDefault="00DE1286" w:rsidP="00BF36B0">
      <w:pPr>
        <w:rPr>
          <w:b/>
          <w:color w:val="auto"/>
        </w:rPr>
      </w:pPr>
    </w:p>
    <w:p w14:paraId="0E74DF51" w14:textId="77777777" w:rsidR="00314DA5" w:rsidRDefault="00314DA5" w:rsidP="00BF36B0">
      <w:pPr>
        <w:rPr>
          <w:b/>
          <w:color w:val="auto"/>
        </w:rPr>
      </w:pPr>
    </w:p>
    <w:p w14:paraId="4108A5A6" w14:textId="77777777" w:rsidR="00D61A81" w:rsidRDefault="00D61A81" w:rsidP="00BF36B0">
      <w:pPr>
        <w:rPr>
          <w:b/>
          <w:color w:val="auto"/>
        </w:rPr>
      </w:pPr>
    </w:p>
    <w:p w14:paraId="1F188213" w14:textId="77777777" w:rsidR="0071203C" w:rsidRDefault="0071203C" w:rsidP="00BF36B0">
      <w:pPr>
        <w:rPr>
          <w:b/>
          <w:color w:val="auto"/>
        </w:rPr>
      </w:pPr>
    </w:p>
    <w:p w14:paraId="69DD12C0" w14:textId="3357151A" w:rsidR="00BF36B0" w:rsidRPr="003932B0" w:rsidRDefault="00A26D02" w:rsidP="00BF36B0">
      <w:pPr>
        <w:tabs>
          <w:tab w:val="left" w:pos="360"/>
          <w:tab w:val="left" w:pos="720"/>
          <w:tab w:val="right" w:leader="dot" w:pos="10224"/>
        </w:tabs>
        <w:autoSpaceDE w:val="0"/>
        <w:autoSpaceDN w:val="0"/>
        <w:adjustRightInd w:val="0"/>
        <w:rPr>
          <w:b/>
          <w:color w:val="auto"/>
        </w:rPr>
      </w:pPr>
      <w:r>
        <w:rPr>
          <w:b/>
          <w:color w:val="auto"/>
        </w:rPr>
        <w:lastRenderedPageBreak/>
        <w:t>Public Health Provider</w:t>
      </w:r>
      <w:r w:rsidR="00214242">
        <w:rPr>
          <w:b/>
          <w:color w:val="auto"/>
        </w:rPr>
        <w:t>- Charity Care Program</w:t>
      </w:r>
      <w:r w:rsidR="003932B0" w:rsidRPr="003932B0">
        <w:rPr>
          <w:b/>
          <w:color w:val="auto"/>
        </w:rPr>
        <w:t xml:space="preserve"> Update</w:t>
      </w:r>
      <w:r w:rsidR="00BF36B0" w:rsidRPr="003932B0">
        <w:rPr>
          <w:b/>
          <w:color w:val="auto"/>
        </w:rPr>
        <w:t>:</w:t>
      </w:r>
    </w:p>
    <w:p w14:paraId="15EBB2F0" w14:textId="77777777" w:rsidR="00EE711A" w:rsidRDefault="00EE711A" w:rsidP="00BC30BC">
      <w:pPr>
        <w:rPr>
          <w:color w:val="auto"/>
        </w:rPr>
      </w:pPr>
    </w:p>
    <w:p w14:paraId="79A09D3E" w14:textId="319849B9" w:rsidR="00EE711A" w:rsidRPr="00A674FE" w:rsidRDefault="00EE711A" w:rsidP="00EE711A">
      <w:pPr>
        <w:rPr>
          <w:color w:val="auto"/>
        </w:rPr>
      </w:pPr>
      <w:r w:rsidRPr="00A674FE">
        <w:rPr>
          <w:color w:val="auto"/>
        </w:rPr>
        <w:t xml:space="preserve">Mr. Mohib Nawab provided an update on the Public Health Provider Charity Care Program, highlighting the participation of 12 new </w:t>
      </w:r>
      <w:r w:rsidR="00246629">
        <w:rPr>
          <w:color w:val="auto"/>
        </w:rPr>
        <w:t>l</w:t>
      </w:r>
      <w:r w:rsidRPr="00A674FE">
        <w:rPr>
          <w:color w:val="auto"/>
        </w:rPr>
        <w:t xml:space="preserve">ocal </w:t>
      </w:r>
      <w:r w:rsidR="00246629">
        <w:rPr>
          <w:color w:val="auto"/>
        </w:rPr>
        <w:t>h</w:t>
      </w:r>
      <w:r w:rsidRPr="00A674FE">
        <w:rPr>
          <w:color w:val="auto"/>
        </w:rPr>
        <w:t xml:space="preserve">ealth </w:t>
      </w:r>
      <w:r w:rsidR="00246629">
        <w:rPr>
          <w:color w:val="auto"/>
        </w:rPr>
        <w:t>d</w:t>
      </w:r>
      <w:r w:rsidRPr="00A674FE">
        <w:rPr>
          <w:color w:val="auto"/>
        </w:rPr>
        <w:t>epartments</w:t>
      </w:r>
      <w:r w:rsidR="00246629">
        <w:rPr>
          <w:color w:val="auto"/>
        </w:rPr>
        <w:t xml:space="preserve"> (LHDs)</w:t>
      </w:r>
      <w:r w:rsidRPr="00A674FE">
        <w:rPr>
          <w:color w:val="auto"/>
        </w:rPr>
        <w:t xml:space="preserve"> in this year’s Cost Report training. He detailed the eligibility criteria for program participation and shared important dates and timelines, inviting questions to be directed via email to PHP-CCP@hhs.texas.gov.</w:t>
      </w:r>
    </w:p>
    <w:p w14:paraId="21BD59DF" w14:textId="77777777" w:rsidR="00EE711A" w:rsidRPr="00A674FE" w:rsidRDefault="00EE711A" w:rsidP="00EE711A">
      <w:pPr>
        <w:rPr>
          <w:color w:val="auto"/>
        </w:rPr>
      </w:pPr>
    </w:p>
    <w:p w14:paraId="782D8DB6" w14:textId="28D1714F" w:rsidR="00EE711A" w:rsidRPr="00A674FE" w:rsidRDefault="00EE711A" w:rsidP="00EE711A">
      <w:pPr>
        <w:rPr>
          <w:color w:val="auto"/>
        </w:rPr>
      </w:pPr>
      <w:r w:rsidRPr="00A674FE">
        <w:rPr>
          <w:color w:val="auto"/>
        </w:rPr>
        <w:t xml:space="preserve">Mr. Stephen Williams asked about the program’s expiration date, to which Mr. Nawab replied that it had been previously renewed and is scheduled to expire in 2027. The current program funding limit stands at $500 million, necessitating renewal in 2027. Mr. Williams further inquired if the renewal would align with the next legislative session and about the procedure for increasing funding due to increased participation. Mr. </w:t>
      </w:r>
      <w:r w:rsidR="00C12DAE">
        <w:rPr>
          <w:color w:val="auto"/>
        </w:rPr>
        <w:t xml:space="preserve">Nawab </w:t>
      </w:r>
      <w:r w:rsidR="00246629">
        <w:rPr>
          <w:color w:val="auto"/>
        </w:rPr>
        <w:t>noted</w:t>
      </w:r>
      <w:r w:rsidRPr="00A674FE">
        <w:rPr>
          <w:color w:val="auto"/>
        </w:rPr>
        <w:t xml:space="preserve"> that the program falls under the jurisdiction of </w:t>
      </w:r>
      <w:r w:rsidR="00246629">
        <w:rPr>
          <w:color w:val="auto"/>
        </w:rPr>
        <w:t>the Centers for Medicaid &amp; Medicare Services (</w:t>
      </w:r>
      <w:r w:rsidRPr="00A674FE">
        <w:rPr>
          <w:color w:val="auto"/>
        </w:rPr>
        <w:t>CMS</w:t>
      </w:r>
      <w:r w:rsidR="00246629">
        <w:rPr>
          <w:color w:val="auto"/>
        </w:rPr>
        <w:t>) and</w:t>
      </w:r>
      <w:r w:rsidRPr="00A674FE">
        <w:rPr>
          <w:color w:val="auto"/>
        </w:rPr>
        <w:t xml:space="preserve"> mentioned that the program is currently in its third year, with funding based on second-year participation numbers, which included only charity care. To request increased funding for the 2027 renewal, evidence of additional participation and a comparison of actual versus projected expenditures would be required.</w:t>
      </w:r>
    </w:p>
    <w:p w14:paraId="06A266D2" w14:textId="77777777" w:rsidR="00EE711A" w:rsidRPr="00A674FE" w:rsidRDefault="00EE711A" w:rsidP="00EE711A">
      <w:pPr>
        <w:rPr>
          <w:color w:val="auto"/>
        </w:rPr>
      </w:pPr>
    </w:p>
    <w:p w14:paraId="3E435001" w14:textId="00052237" w:rsidR="00EE711A" w:rsidRDefault="00A674FE" w:rsidP="00EE711A">
      <w:pPr>
        <w:rPr>
          <w:color w:val="auto"/>
        </w:rPr>
      </w:pPr>
      <w:r>
        <w:rPr>
          <w:color w:val="auto"/>
        </w:rPr>
        <w:t xml:space="preserve">Ms. </w:t>
      </w:r>
      <w:r w:rsidR="00EE711A" w:rsidRPr="00A674FE">
        <w:rPr>
          <w:color w:val="auto"/>
        </w:rPr>
        <w:t>Lisa Dick questioned whether the $500 million in program funding was solely for public health or if it also included mental health services. Mr. Nawab clarified that the funding covers all immunizations, behavioral health, public health, and other services within the program.</w:t>
      </w:r>
    </w:p>
    <w:p w14:paraId="0388A79C" w14:textId="77777777" w:rsidR="00EE711A" w:rsidRDefault="00EE711A" w:rsidP="00223024">
      <w:pPr>
        <w:rPr>
          <w:b/>
          <w:color w:val="auto"/>
        </w:rPr>
      </w:pPr>
    </w:p>
    <w:p w14:paraId="525CC93B" w14:textId="02806C10" w:rsidR="0071203C" w:rsidRDefault="0071203C" w:rsidP="0071203C">
      <w:pPr>
        <w:rPr>
          <w:b/>
          <w:color w:val="auto"/>
        </w:rPr>
      </w:pPr>
      <w:r>
        <w:rPr>
          <w:b/>
          <w:color w:val="auto"/>
        </w:rPr>
        <w:t xml:space="preserve">June 12, 2024, </w:t>
      </w:r>
      <w:r w:rsidRPr="00491F7A">
        <w:rPr>
          <w:b/>
          <w:color w:val="auto"/>
        </w:rPr>
        <w:t>Meeting Minutes</w:t>
      </w:r>
      <w:r w:rsidR="00D83F87">
        <w:rPr>
          <w:b/>
          <w:color w:val="auto"/>
        </w:rPr>
        <w:t>:</w:t>
      </w:r>
    </w:p>
    <w:p w14:paraId="4CA0AB55" w14:textId="77777777" w:rsidR="0071203C" w:rsidRDefault="0071203C" w:rsidP="0071203C">
      <w:pPr>
        <w:rPr>
          <w:b/>
          <w:color w:val="auto"/>
        </w:rPr>
      </w:pPr>
    </w:p>
    <w:p w14:paraId="4AD9BFFC" w14:textId="78801BA9" w:rsidR="0071203C" w:rsidRDefault="0071203C" w:rsidP="0071203C">
      <w:pPr>
        <w:rPr>
          <w:color w:val="auto"/>
        </w:rPr>
      </w:pPr>
      <w:r w:rsidRPr="009A6188">
        <w:rPr>
          <w:color w:val="auto"/>
        </w:rPr>
        <w:t>Ms. Dick</w:t>
      </w:r>
      <w:r w:rsidRPr="00493588">
        <w:rPr>
          <w:color w:val="auto"/>
        </w:rPr>
        <w:t xml:space="preserve"> motioned to approve the minutes. </w:t>
      </w:r>
      <w:r>
        <w:rPr>
          <w:color w:val="auto"/>
        </w:rPr>
        <w:t xml:space="preserve">Ms. Sharon Whitley </w:t>
      </w:r>
      <w:r w:rsidRPr="00493588">
        <w:rPr>
          <w:color w:val="auto"/>
        </w:rPr>
        <w:t>seconded</w:t>
      </w:r>
      <w:r>
        <w:rPr>
          <w:color w:val="auto"/>
        </w:rPr>
        <w:t xml:space="preserve"> the motion</w:t>
      </w:r>
      <w:r w:rsidRPr="00493588">
        <w:rPr>
          <w:color w:val="auto"/>
        </w:rPr>
        <w:t>. Minutes approved.</w:t>
      </w:r>
    </w:p>
    <w:p w14:paraId="2777FF77" w14:textId="77777777" w:rsidR="0071203C" w:rsidRDefault="0071203C" w:rsidP="00223024">
      <w:pPr>
        <w:rPr>
          <w:b/>
          <w:color w:val="auto"/>
        </w:rPr>
      </w:pPr>
    </w:p>
    <w:p w14:paraId="3D128635" w14:textId="13BE64CD" w:rsidR="003C69C3" w:rsidRDefault="003C69C3" w:rsidP="003C69C3">
      <w:pPr>
        <w:rPr>
          <w:b/>
          <w:color w:val="auto"/>
        </w:rPr>
      </w:pPr>
      <w:r w:rsidRPr="00F50B6F">
        <w:rPr>
          <w:b/>
          <w:color w:val="auto"/>
        </w:rPr>
        <w:t>Data Modernization/public health sharing Update</w:t>
      </w:r>
      <w:r w:rsidR="00D83F87">
        <w:rPr>
          <w:b/>
          <w:color w:val="auto"/>
        </w:rPr>
        <w:t>:</w:t>
      </w:r>
    </w:p>
    <w:p w14:paraId="430D0F56" w14:textId="77777777" w:rsidR="00C551B1" w:rsidRDefault="00C551B1" w:rsidP="00BC30BC">
      <w:pPr>
        <w:rPr>
          <w:bCs/>
          <w:color w:val="auto"/>
        </w:rPr>
      </w:pPr>
    </w:p>
    <w:p w14:paraId="34683CD2" w14:textId="2915A01B" w:rsidR="00C551B1" w:rsidRPr="00A674FE" w:rsidRDefault="00C551B1" w:rsidP="00C551B1">
      <w:pPr>
        <w:rPr>
          <w:bCs/>
          <w:color w:val="auto"/>
        </w:rPr>
      </w:pPr>
      <w:r w:rsidRPr="00A674FE">
        <w:rPr>
          <w:bCs/>
          <w:color w:val="auto"/>
        </w:rPr>
        <w:t xml:space="preserve">Mr. Josh Hutchison provided updates on several key areas, including the </w:t>
      </w:r>
      <w:r w:rsidR="00246629">
        <w:rPr>
          <w:bCs/>
          <w:color w:val="auto"/>
        </w:rPr>
        <w:t>c</w:t>
      </w:r>
      <w:r w:rsidRPr="00A674FE">
        <w:rPr>
          <w:bCs/>
          <w:color w:val="auto"/>
        </w:rPr>
        <w:t xml:space="preserve">ongenital </w:t>
      </w:r>
      <w:r w:rsidR="00246629">
        <w:rPr>
          <w:bCs/>
          <w:color w:val="auto"/>
        </w:rPr>
        <w:t>s</w:t>
      </w:r>
      <w:r w:rsidRPr="00A674FE">
        <w:rPr>
          <w:bCs/>
          <w:color w:val="auto"/>
        </w:rPr>
        <w:t xml:space="preserve">yphilis website, vaccine updates, and public health data sharing. The new </w:t>
      </w:r>
      <w:r w:rsidR="00246629">
        <w:rPr>
          <w:bCs/>
          <w:color w:val="auto"/>
        </w:rPr>
        <w:t>c</w:t>
      </w:r>
      <w:r w:rsidRPr="00A674FE">
        <w:rPr>
          <w:bCs/>
          <w:color w:val="auto"/>
        </w:rPr>
        <w:t xml:space="preserve">ongenital </w:t>
      </w:r>
      <w:r w:rsidR="00246629">
        <w:rPr>
          <w:bCs/>
          <w:color w:val="auto"/>
        </w:rPr>
        <w:t>s</w:t>
      </w:r>
      <w:r w:rsidRPr="00A674FE">
        <w:rPr>
          <w:bCs/>
          <w:color w:val="auto"/>
        </w:rPr>
        <w:t xml:space="preserve">yphilis website is now live on the DSHS site, and Mr. Hutchison encouraged everyone to visit it. Regarding respiratory infectious disease vaccines, he noted that the </w:t>
      </w:r>
      <w:r w:rsidR="00246629" w:rsidRPr="00A16CA1">
        <w:rPr>
          <w:bCs/>
          <w:color w:val="auto"/>
        </w:rPr>
        <w:t xml:space="preserve">Respiratory Syncytial Virus </w:t>
      </w:r>
      <w:r w:rsidR="00246629">
        <w:rPr>
          <w:bCs/>
          <w:color w:val="auto"/>
        </w:rPr>
        <w:t>(</w:t>
      </w:r>
      <w:r w:rsidRPr="00A674FE">
        <w:rPr>
          <w:bCs/>
          <w:color w:val="auto"/>
        </w:rPr>
        <w:t>RSV</w:t>
      </w:r>
      <w:r w:rsidR="00246629">
        <w:rPr>
          <w:bCs/>
          <w:color w:val="auto"/>
        </w:rPr>
        <w:t>)</w:t>
      </w:r>
      <w:r w:rsidRPr="00A674FE">
        <w:rPr>
          <w:bCs/>
          <w:color w:val="auto"/>
        </w:rPr>
        <w:t xml:space="preserve"> vaccine supply is stable this year with no supply constraints.</w:t>
      </w:r>
    </w:p>
    <w:p w14:paraId="1DF20E9F" w14:textId="77777777" w:rsidR="00C551B1" w:rsidRPr="00A674FE" w:rsidRDefault="00C551B1" w:rsidP="00C551B1">
      <w:pPr>
        <w:rPr>
          <w:bCs/>
          <w:color w:val="auto"/>
        </w:rPr>
      </w:pPr>
    </w:p>
    <w:p w14:paraId="6A27A46E" w14:textId="34A24ADE" w:rsidR="00C551B1" w:rsidRPr="00A674FE" w:rsidRDefault="00C551B1" w:rsidP="00C551B1">
      <w:pPr>
        <w:rPr>
          <w:bCs/>
          <w:color w:val="auto"/>
        </w:rPr>
      </w:pPr>
      <w:r w:rsidRPr="00A674FE">
        <w:rPr>
          <w:bCs/>
          <w:color w:val="auto"/>
        </w:rPr>
        <w:lastRenderedPageBreak/>
        <w:t xml:space="preserve">Updates on COVID-19 vaccines were also shared, including the conclusion of the CDC Bridge program in September 2024. Additional COVID-19 vaccines for adults are available through </w:t>
      </w:r>
      <w:r w:rsidR="00246629">
        <w:rPr>
          <w:bCs/>
          <w:color w:val="auto"/>
        </w:rPr>
        <w:t xml:space="preserve">the </w:t>
      </w:r>
      <w:r w:rsidRPr="00A674FE">
        <w:rPr>
          <w:bCs/>
          <w:color w:val="auto"/>
        </w:rPr>
        <w:t>VAOS</w:t>
      </w:r>
      <w:r w:rsidR="00246629">
        <w:rPr>
          <w:bCs/>
          <w:color w:val="auto"/>
        </w:rPr>
        <w:t xml:space="preserve"> application</w:t>
      </w:r>
      <w:r w:rsidRPr="00A674FE">
        <w:rPr>
          <w:bCs/>
          <w:color w:val="auto"/>
        </w:rPr>
        <w:t xml:space="preserve">, and Mr. Hutchison advised providers to charge an administration fee for vaccines. He also informed the committee that Medicaid and CHIP will no longer reimburse administration fees for COVID-19 vaccines under EUA authority, affecting vaccines such as Novavax, Moderna, and Pfizer. </w:t>
      </w:r>
      <w:r w:rsidR="00246629">
        <w:rPr>
          <w:bCs/>
          <w:color w:val="auto"/>
        </w:rPr>
        <w:t>H</w:t>
      </w:r>
      <w:r w:rsidRPr="00A674FE">
        <w:rPr>
          <w:bCs/>
          <w:color w:val="auto"/>
        </w:rPr>
        <w:t xml:space="preserve">e reminded </w:t>
      </w:r>
      <w:r w:rsidR="00246629">
        <w:rPr>
          <w:bCs/>
          <w:color w:val="auto"/>
        </w:rPr>
        <w:t xml:space="preserve">all </w:t>
      </w:r>
      <w:r w:rsidRPr="00A674FE">
        <w:rPr>
          <w:bCs/>
          <w:color w:val="auto"/>
        </w:rPr>
        <w:t>that last season’s COVID-19 vaccines should not be administered and must be disposed of.</w:t>
      </w:r>
    </w:p>
    <w:p w14:paraId="0DDBF26C" w14:textId="77777777" w:rsidR="00C551B1" w:rsidRPr="00A674FE" w:rsidRDefault="00C551B1" w:rsidP="00C551B1">
      <w:pPr>
        <w:rPr>
          <w:bCs/>
          <w:color w:val="auto"/>
        </w:rPr>
      </w:pPr>
    </w:p>
    <w:p w14:paraId="49EFC046" w14:textId="2E5E51A6" w:rsidR="00C551B1" w:rsidRPr="00A674FE" w:rsidRDefault="00C551B1" w:rsidP="00C551B1">
      <w:pPr>
        <w:rPr>
          <w:bCs/>
          <w:color w:val="auto"/>
        </w:rPr>
      </w:pPr>
      <w:r w:rsidRPr="00A674FE">
        <w:rPr>
          <w:bCs/>
          <w:color w:val="auto"/>
        </w:rPr>
        <w:t>Updates on public health data sharing, particularly related to the immunizations program, were provided. A record level of data sharing with all 50 contracted LHDs has been achieved since July 2024. Dashboards for visualizing and sharing ImmTrac data are being developed, although Mr. Hutchison cautioned that these dashboards should not be used for coverage rate assessments.</w:t>
      </w:r>
    </w:p>
    <w:p w14:paraId="0DB00943" w14:textId="77777777" w:rsidR="00C551B1" w:rsidRPr="00A674FE" w:rsidRDefault="00C551B1" w:rsidP="00C551B1">
      <w:pPr>
        <w:rPr>
          <w:bCs/>
          <w:color w:val="auto"/>
        </w:rPr>
      </w:pPr>
    </w:p>
    <w:p w14:paraId="355FFBEC" w14:textId="50355294" w:rsidR="00C551B1" w:rsidRPr="00A674FE" w:rsidRDefault="00C551B1" w:rsidP="00C551B1">
      <w:pPr>
        <w:rPr>
          <w:bCs/>
          <w:color w:val="auto"/>
        </w:rPr>
      </w:pPr>
      <w:r w:rsidRPr="00A674FE">
        <w:rPr>
          <w:bCs/>
          <w:color w:val="auto"/>
        </w:rPr>
        <w:t>Dr. Sai Bala provided insights into data modernization and public sharing efforts, detailing the phases of the National Electronic Disease Surveillance System (NEDSS) project. Phase 1 involves delivering aggregate-level disease surveillance dashboards to each LH</w:t>
      </w:r>
      <w:r w:rsidR="00246629">
        <w:rPr>
          <w:bCs/>
          <w:color w:val="auto"/>
        </w:rPr>
        <w:t>D</w:t>
      </w:r>
      <w:r w:rsidRPr="00A674FE">
        <w:rPr>
          <w:bCs/>
          <w:color w:val="auto"/>
        </w:rPr>
        <w:t>, while Phase 2 offers line-level NEDSS provisional data in the Snowflake database. Support will be provided for the more technical Snowflake database queries. Updates on NIFI 4 enhancements were shared, with preliminary upgrades planned through the summer of 2026. These updates are based on feedback and system improvement needs.</w:t>
      </w:r>
    </w:p>
    <w:p w14:paraId="3E50697F" w14:textId="77777777" w:rsidR="00C551B1" w:rsidRPr="00A674FE" w:rsidRDefault="00C551B1" w:rsidP="00C551B1">
      <w:pPr>
        <w:rPr>
          <w:bCs/>
          <w:color w:val="auto"/>
        </w:rPr>
      </w:pPr>
    </w:p>
    <w:p w14:paraId="2DEC0208" w14:textId="65EDE76C" w:rsidR="00C551B1" w:rsidRPr="00A674FE" w:rsidRDefault="00C551B1" w:rsidP="00C551B1">
      <w:pPr>
        <w:rPr>
          <w:bCs/>
          <w:color w:val="auto"/>
        </w:rPr>
      </w:pPr>
      <w:r w:rsidRPr="00A674FE">
        <w:rPr>
          <w:bCs/>
          <w:color w:val="auto"/>
        </w:rPr>
        <w:t>Dr. Bala also discussed the HTI-2 Proposed Rule Comments, which require healthcare IT system upgrades to enhance interoperability. The proposal includes four major sections impacting public health: updated naming conventions in data exchange, new certification criteria for Health IT, USCDI V4 adoption, and FHIR-based API exchange. Dr. Bala noted that the timeline is aggressive, and DSHS, along with other states, is expressing concerns about the timeline and funding at the national level.</w:t>
      </w:r>
    </w:p>
    <w:p w14:paraId="5216BF07" w14:textId="77777777" w:rsidR="00C551B1" w:rsidRPr="00A674FE" w:rsidRDefault="00C551B1" w:rsidP="00C551B1">
      <w:pPr>
        <w:rPr>
          <w:bCs/>
          <w:color w:val="auto"/>
        </w:rPr>
      </w:pPr>
    </w:p>
    <w:p w14:paraId="4DAB4C61" w14:textId="6F0A40F4" w:rsidR="00C551B1" w:rsidRPr="00A674FE" w:rsidRDefault="00C551B1" w:rsidP="00C551B1">
      <w:pPr>
        <w:rPr>
          <w:bCs/>
          <w:color w:val="auto"/>
        </w:rPr>
      </w:pPr>
      <w:r w:rsidRPr="00A674FE">
        <w:rPr>
          <w:bCs/>
          <w:color w:val="auto"/>
        </w:rPr>
        <w:t xml:space="preserve">Dr. Bala also provided an update on data visualization efforts, indicating that Texas Health Data dashboards will become more robust by the last quarter of this year. These dashboards will eventually replace traditional EPI profile reports. The Texas Health Data site is designed to offer multiple data sets in a single area for customization and visualization. Dr. Bala highlighted updates to the </w:t>
      </w:r>
      <w:r w:rsidR="00246629">
        <w:rPr>
          <w:bCs/>
          <w:color w:val="auto"/>
        </w:rPr>
        <w:t>c</w:t>
      </w:r>
      <w:r w:rsidRPr="00A674FE">
        <w:rPr>
          <w:bCs/>
          <w:color w:val="auto"/>
        </w:rPr>
        <w:t xml:space="preserve">ongenital </w:t>
      </w:r>
      <w:r w:rsidR="00246629">
        <w:rPr>
          <w:bCs/>
          <w:color w:val="auto"/>
        </w:rPr>
        <w:t>s</w:t>
      </w:r>
      <w:r w:rsidRPr="00A674FE">
        <w:rPr>
          <w:bCs/>
          <w:color w:val="auto"/>
        </w:rPr>
        <w:t>yphilis dashboards and new releases on the</w:t>
      </w:r>
      <w:r w:rsidR="00F211DB">
        <w:rPr>
          <w:bCs/>
          <w:color w:val="auto"/>
        </w:rPr>
        <w:t xml:space="preserve"> </w:t>
      </w:r>
      <w:r w:rsidR="00246629">
        <w:rPr>
          <w:bCs/>
          <w:color w:val="auto"/>
        </w:rPr>
        <w:lastRenderedPageBreak/>
        <w:t>m</w:t>
      </w:r>
      <w:r w:rsidRPr="00A674FE">
        <w:rPr>
          <w:bCs/>
          <w:color w:val="auto"/>
        </w:rPr>
        <w:t xml:space="preserve">aternal and </w:t>
      </w:r>
      <w:r w:rsidR="00246629">
        <w:rPr>
          <w:bCs/>
          <w:color w:val="auto"/>
        </w:rPr>
        <w:t>c</w:t>
      </w:r>
      <w:r w:rsidRPr="00A674FE">
        <w:rPr>
          <w:bCs/>
          <w:color w:val="auto"/>
        </w:rPr>
        <w:t xml:space="preserve">hild </w:t>
      </w:r>
      <w:r w:rsidR="00246629">
        <w:rPr>
          <w:bCs/>
          <w:color w:val="auto"/>
        </w:rPr>
        <w:t>h</w:t>
      </w:r>
      <w:r w:rsidRPr="00A674FE">
        <w:rPr>
          <w:bCs/>
          <w:color w:val="auto"/>
        </w:rPr>
        <w:t>ealth dashboard, emphasizing improvements for user ease and navigation.</w:t>
      </w:r>
    </w:p>
    <w:p w14:paraId="3F9E011A" w14:textId="77777777" w:rsidR="00C551B1" w:rsidRPr="00A674FE" w:rsidRDefault="00C551B1" w:rsidP="00C551B1">
      <w:pPr>
        <w:rPr>
          <w:bCs/>
          <w:color w:val="auto"/>
        </w:rPr>
      </w:pPr>
    </w:p>
    <w:p w14:paraId="402D22E7" w14:textId="2BAF3A4F" w:rsidR="00C551B1" w:rsidRPr="00161BBD" w:rsidRDefault="00C551B1" w:rsidP="00C551B1">
      <w:pPr>
        <w:rPr>
          <w:bCs/>
          <w:color w:val="auto"/>
        </w:rPr>
      </w:pPr>
      <w:r w:rsidRPr="00A674FE">
        <w:rPr>
          <w:bCs/>
          <w:color w:val="auto"/>
        </w:rPr>
        <w:t xml:space="preserve">In response to a question from </w:t>
      </w:r>
      <w:r w:rsidR="007260B2">
        <w:rPr>
          <w:bCs/>
          <w:color w:val="auto"/>
        </w:rPr>
        <w:t xml:space="preserve">Mr. </w:t>
      </w:r>
      <w:r w:rsidRPr="00A674FE">
        <w:rPr>
          <w:bCs/>
          <w:color w:val="auto"/>
        </w:rPr>
        <w:t xml:space="preserve">George Roberts about the currency of data on public websites, Dr. Bala explained that data is refreshed annually, with the current public website featuring 2022 data. He also mentioned that the </w:t>
      </w:r>
      <w:r w:rsidR="00132B7F" w:rsidRPr="00A16CA1">
        <w:rPr>
          <w:bCs/>
          <w:color w:val="auto"/>
        </w:rPr>
        <w:t xml:space="preserve">Centers for Disease Control and Prevention </w:t>
      </w:r>
      <w:r w:rsidR="00132B7F">
        <w:rPr>
          <w:bCs/>
          <w:color w:val="auto"/>
        </w:rPr>
        <w:t>(</w:t>
      </w:r>
      <w:r w:rsidRPr="00A674FE">
        <w:rPr>
          <w:bCs/>
          <w:color w:val="auto"/>
        </w:rPr>
        <w:t>CDC</w:t>
      </w:r>
      <w:r w:rsidR="00132B7F">
        <w:rPr>
          <w:bCs/>
          <w:color w:val="auto"/>
        </w:rPr>
        <w:t>)</w:t>
      </w:r>
      <w:r w:rsidRPr="00A674FE">
        <w:rPr>
          <w:bCs/>
          <w:color w:val="auto"/>
        </w:rPr>
        <w:t xml:space="preserve"> must finalize data before it is published on public websites.</w:t>
      </w:r>
    </w:p>
    <w:p w14:paraId="276C34C3" w14:textId="77777777" w:rsidR="003C69C3" w:rsidRPr="0067017C" w:rsidRDefault="003C69C3" w:rsidP="003C69C3">
      <w:pPr>
        <w:rPr>
          <w:b/>
          <w:color w:val="auto"/>
          <w:highlight w:val="yellow"/>
        </w:rPr>
      </w:pPr>
    </w:p>
    <w:p w14:paraId="77C361C6" w14:textId="6CF84258" w:rsidR="00E900C8" w:rsidRPr="00E55777" w:rsidRDefault="00DD4B65" w:rsidP="00BF36B0">
      <w:pPr>
        <w:rPr>
          <w:b/>
          <w:color w:val="auto"/>
        </w:rPr>
      </w:pPr>
      <w:r w:rsidRPr="00E55777">
        <w:rPr>
          <w:b/>
          <w:color w:val="auto"/>
        </w:rPr>
        <w:t>Emerging and Infectious Diseases update</w:t>
      </w:r>
      <w:r w:rsidR="003932B0" w:rsidRPr="00E55777">
        <w:rPr>
          <w:b/>
          <w:color w:val="auto"/>
        </w:rPr>
        <w:t>:</w:t>
      </w:r>
    </w:p>
    <w:p w14:paraId="071B979E" w14:textId="77777777" w:rsidR="00682178" w:rsidRDefault="00682178" w:rsidP="00E94149">
      <w:pPr>
        <w:rPr>
          <w:bCs/>
          <w:color w:val="auto"/>
        </w:rPr>
      </w:pPr>
    </w:p>
    <w:p w14:paraId="05CD47D2" w14:textId="776ACA65" w:rsidR="00F211DB" w:rsidRDefault="00682178" w:rsidP="00682178">
      <w:pPr>
        <w:rPr>
          <w:bCs/>
          <w:color w:val="auto"/>
        </w:rPr>
      </w:pPr>
      <w:r w:rsidRPr="00A16CA1">
        <w:rPr>
          <w:bCs/>
          <w:color w:val="auto"/>
        </w:rPr>
        <w:t xml:space="preserve">Dr. Varun Shetty provided updates on several health concerns. A new interactive dashboard for Respiratory Syncytial Virus (RSV) was launched in January, allowing users to explore specific data. </w:t>
      </w:r>
      <w:r w:rsidR="00246629">
        <w:rPr>
          <w:bCs/>
          <w:color w:val="auto"/>
        </w:rPr>
        <w:t xml:space="preserve">DSHS </w:t>
      </w:r>
      <w:r w:rsidRPr="00A16CA1">
        <w:rPr>
          <w:bCs/>
          <w:color w:val="auto"/>
        </w:rPr>
        <w:t>hopes this tool has been beneficial for healthcare providers.</w:t>
      </w:r>
      <w:r w:rsidR="00F211DB">
        <w:rPr>
          <w:bCs/>
          <w:color w:val="auto"/>
        </w:rPr>
        <w:t xml:space="preserve"> </w:t>
      </w:r>
    </w:p>
    <w:p w14:paraId="1FD8D03A" w14:textId="77777777" w:rsidR="00F211DB" w:rsidRDefault="00F211DB" w:rsidP="00682178">
      <w:pPr>
        <w:rPr>
          <w:bCs/>
          <w:color w:val="auto"/>
        </w:rPr>
      </w:pPr>
    </w:p>
    <w:p w14:paraId="4FB05ED6" w14:textId="248F3F8F" w:rsidR="00F211DB" w:rsidRDefault="00682178" w:rsidP="00682178">
      <w:pPr>
        <w:rPr>
          <w:bCs/>
          <w:color w:val="auto"/>
        </w:rPr>
      </w:pPr>
      <w:r w:rsidRPr="00A16CA1">
        <w:rPr>
          <w:bCs/>
          <w:color w:val="auto"/>
        </w:rPr>
        <w:t xml:space="preserve">Dr. Shetty reported on hospitalization data, noting that the previous requirement for COVID-19 bed counts ended on May 1st, and participation in optional reporting was limited. However, a new mandate from </w:t>
      </w:r>
      <w:r w:rsidR="00C12DAE" w:rsidRPr="00A16CA1">
        <w:rPr>
          <w:bCs/>
          <w:color w:val="auto"/>
        </w:rPr>
        <w:t xml:space="preserve">the </w:t>
      </w:r>
      <w:r w:rsidR="00C12DAE">
        <w:rPr>
          <w:bCs/>
          <w:color w:val="auto"/>
        </w:rPr>
        <w:t>CMS</w:t>
      </w:r>
      <w:r w:rsidRPr="00A16CA1">
        <w:rPr>
          <w:bCs/>
          <w:color w:val="auto"/>
        </w:rPr>
        <w:t xml:space="preserve"> reinstates the bed count reporting requirement for RSV, COVID-19, and influenza.</w:t>
      </w:r>
      <w:r w:rsidR="00F211DB">
        <w:rPr>
          <w:bCs/>
          <w:color w:val="auto"/>
        </w:rPr>
        <w:t xml:space="preserve"> </w:t>
      </w:r>
      <w:r w:rsidRPr="00A16CA1">
        <w:rPr>
          <w:bCs/>
          <w:color w:val="auto"/>
        </w:rPr>
        <w:t xml:space="preserve">In terms of influenza surveillance, public health officials are observing a return to more typical patterns for the virus. </w:t>
      </w:r>
    </w:p>
    <w:p w14:paraId="0F6430B0" w14:textId="77777777" w:rsidR="00F211DB" w:rsidRDefault="00F211DB" w:rsidP="00682178">
      <w:pPr>
        <w:rPr>
          <w:bCs/>
          <w:color w:val="auto"/>
        </w:rPr>
      </w:pPr>
    </w:p>
    <w:p w14:paraId="1B066F1E" w14:textId="6FFC2D35" w:rsidR="00682178" w:rsidRPr="00A16CA1" w:rsidRDefault="00682178" w:rsidP="00682178">
      <w:pPr>
        <w:rPr>
          <w:bCs/>
          <w:color w:val="auto"/>
        </w:rPr>
      </w:pPr>
      <w:r w:rsidRPr="00A16CA1">
        <w:rPr>
          <w:bCs/>
          <w:color w:val="auto"/>
        </w:rPr>
        <w:t>Dr. Shetty also shared a national report on H5N1, highlighting a case in Nebraska where transmission occurred without animal exposure, raising concerns about potential unidentified cases. He emphasized the importance of enhancing traditional flu surveillance systems. The CDC considers the risk to the general population low but higher for those in contact with farm workers. Increasing sample submissions to public health labs is a goal.</w:t>
      </w:r>
      <w:r w:rsidR="00F211DB">
        <w:rPr>
          <w:bCs/>
          <w:color w:val="auto"/>
        </w:rPr>
        <w:t xml:space="preserve"> </w:t>
      </w:r>
      <w:r w:rsidRPr="00A16CA1">
        <w:rPr>
          <w:bCs/>
          <w:color w:val="auto"/>
        </w:rPr>
        <w:t>Regarding vaccines for farm workers, who traditionally have lower vaccination rates, the CDC has offered free immunizations. Expanding access to farm workers can alleviate local health strains during flu season. In partnership with the CDC, efforts are underway to provide flu vaccines to farm workers.</w:t>
      </w:r>
    </w:p>
    <w:p w14:paraId="60E188E5" w14:textId="77777777" w:rsidR="00682178" w:rsidRPr="00A16CA1" w:rsidRDefault="00682178" w:rsidP="00682178">
      <w:pPr>
        <w:rPr>
          <w:bCs/>
          <w:color w:val="auto"/>
        </w:rPr>
      </w:pPr>
    </w:p>
    <w:p w14:paraId="0295FE43" w14:textId="77777777" w:rsidR="00F211DB" w:rsidRDefault="00682178" w:rsidP="00682178">
      <w:pPr>
        <w:rPr>
          <w:bCs/>
          <w:color w:val="auto"/>
        </w:rPr>
      </w:pPr>
      <w:r w:rsidRPr="00A16CA1">
        <w:rPr>
          <w:bCs/>
          <w:color w:val="auto"/>
        </w:rPr>
        <w:t xml:space="preserve">Dr. Shetty also updated on the </w:t>
      </w:r>
      <w:proofErr w:type="spellStart"/>
      <w:r w:rsidRPr="00A16CA1">
        <w:rPr>
          <w:bCs/>
          <w:color w:val="auto"/>
        </w:rPr>
        <w:t>Oropouche</w:t>
      </w:r>
      <w:proofErr w:type="spellEnd"/>
      <w:r w:rsidRPr="00A16CA1">
        <w:rPr>
          <w:bCs/>
          <w:color w:val="auto"/>
        </w:rPr>
        <w:t xml:space="preserve"> Virus, a zoonotic infection spread by flies and mosquitoes, with increased activity in Africa and Cuba. The CDC has issued travel guidance for pregnant women traveling to these regions.</w:t>
      </w:r>
      <w:r w:rsidR="00F211DB">
        <w:rPr>
          <w:bCs/>
          <w:color w:val="auto"/>
        </w:rPr>
        <w:t xml:space="preserve"> </w:t>
      </w:r>
      <w:r w:rsidRPr="00A16CA1">
        <w:rPr>
          <w:bCs/>
          <w:color w:val="auto"/>
        </w:rPr>
        <w:t>All 90 U.S. cases are travel-related from Cuba to Florida, with none reported in Texas.</w:t>
      </w:r>
      <w:r w:rsidR="00F211DB">
        <w:rPr>
          <w:bCs/>
          <w:color w:val="auto"/>
        </w:rPr>
        <w:t xml:space="preserve"> </w:t>
      </w:r>
      <w:r w:rsidRPr="00A16CA1">
        <w:rPr>
          <w:bCs/>
          <w:color w:val="auto"/>
        </w:rPr>
        <w:t xml:space="preserve">The Marburg Virus, a viral hemorrhagic fever similar to Ebola, is experiencing an outbreak in Rwanda with 62 cases and 15 deaths. Most </w:t>
      </w:r>
      <w:r w:rsidRPr="00A16CA1">
        <w:rPr>
          <w:bCs/>
          <w:color w:val="auto"/>
        </w:rPr>
        <w:lastRenderedPageBreak/>
        <w:t>affected individuals are healthcare workers. The CDC has issued a health advisory, and infectious disease experts are reviewing this guidance for distribution to DSHS.</w:t>
      </w:r>
      <w:r w:rsidR="00F211DB">
        <w:rPr>
          <w:bCs/>
          <w:color w:val="auto"/>
        </w:rPr>
        <w:t xml:space="preserve"> </w:t>
      </w:r>
    </w:p>
    <w:p w14:paraId="1B2B7F0E" w14:textId="77777777" w:rsidR="00F211DB" w:rsidRDefault="00F211DB" w:rsidP="00682178">
      <w:pPr>
        <w:rPr>
          <w:bCs/>
          <w:color w:val="auto"/>
        </w:rPr>
      </w:pPr>
    </w:p>
    <w:p w14:paraId="7AF7A477" w14:textId="4F4813C6" w:rsidR="00682178" w:rsidRDefault="00682178" w:rsidP="00682178">
      <w:pPr>
        <w:rPr>
          <w:bCs/>
          <w:color w:val="auto"/>
        </w:rPr>
      </w:pPr>
      <w:r w:rsidRPr="00A16CA1">
        <w:rPr>
          <w:bCs/>
          <w:color w:val="auto"/>
        </w:rPr>
        <w:t>In response to a question, Dr. Shetty confirmed that a level 2 advisory urging providers to practice enhanced precautions has been issued for Mpox.</w:t>
      </w:r>
    </w:p>
    <w:p w14:paraId="5F6C023B" w14:textId="77777777" w:rsidR="00E94149" w:rsidRDefault="00E94149" w:rsidP="00BF36B0">
      <w:pPr>
        <w:rPr>
          <w:bCs/>
          <w:color w:val="auto"/>
        </w:rPr>
      </w:pPr>
    </w:p>
    <w:p w14:paraId="04E3C447" w14:textId="0F09FC4B" w:rsidR="00BF36B0" w:rsidRDefault="00BF36B0" w:rsidP="00BF36B0">
      <w:pPr>
        <w:rPr>
          <w:b/>
          <w:color w:val="auto"/>
        </w:rPr>
      </w:pPr>
      <w:r w:rsidRPr="00F05395">
        <w:rPr>
          <w:b/>
          <w:color w:val="auto"/>
        </w:rPr>
        <w:t>Public Comment:</w:t>
      </w:r>
    </w:p>
    <w:p w14:paraId="0D207D53" w14:textId="77777777" w:rsidR="00F05395" w:rsidRPr="00F05395" w:rsidRDefault="00F05395" w:rsidP="00BF36B0">
      <w:pPr>
        <w:rPr>
          <w:color w:val="auto"/>
        </w:rPr>
      </w:pPr>
    </w:p>
    <w:p w14:paraId="2480422E" w14:textId="41EC159F" w:rsidR="00BF36B0" w:rsidRPr="00F05395" w:rsidRDefault="00BF36B0" w:rsidP="00BF36B0">
      <w:pPr>
        <w:rPr>
          <w:color w:val="auto"/>
        </w:rPr>
      </w:pPr>
      <w:r w:rsidRPr="00285180">
        <w:rPr>
          <w:color w:val="auto"/>
        </w:rPr>
        <w:t>No public comment at this time.</w:t>
      </w:r>
    </w:p>
    <w:p w14:paraId="747A9026" w14:textId="77777777" w:rsidR="006E2C24" w:rsidRDefault="006E2C24" w:rsidP="00BF36B0">
      <w:pPr>
        <w:rPr>
          <w:b/>
          <w:color w:val="auto"/>
        </w:rPr>
      </w:pPr>
    </w:p>
    <w:p w14:paraId="1605CCF7" w14:textId="77777777" w:rsidR="006E2C24" w:rsidRDefault="006E2C24" w:rsidP="00BF36B0">
      <w:pPr>
        <w:rPr>
          <w:b/>
          <w:color w:val="auto"/>
        </w:rPr>
      </w:pPr>
    </w:p>
    <w:p w14:paraId="734F54AA" w14:textId="1CF8F619" w:rsidR="00BF36B0" w:rsidRPr="00F05395" w:rsidRDefault="00BF36B0" w:rsidP="00BF36B0">
      <w:pPr>
        <w:rPr>
          <w:color w:val="auto"/>
        </w:rPr>
      </w:pPr>
      <w:r w:rsidRPr="00F05395">
        <w:rPr>
          <w:b/>
          <w:color w:val="auto"/>
        </w:rPr>
        <w:t>Timelines, Next steps, Announcements, and Future Meeting Dates</w:t>
      </w:r>
      <w:r w:rsidR="00C33007" w:rsidRPr="00F05395">
        <w:rPr>
          <w:b/>
          <w:color w:val="auto"/>
        </w:rPr>
        <w:t>:</w:t>
      </w:r>
      <w:r w:rsidRPr="00F05395">
        <w:rPr>
          <w:color w:val="auto"/>
        </w:rPr>
        <w:t xml:space="preserve"> </w:t>
      </w:r>
    </w:p>
    <w:p w14:paraId="458F9CB8" w14:textId="77777777" w:rsidR="00682178" w:rsidRDefault="00682178" w:rsidP="00BF36B0">
      <w:pPr>
        <w:rPr>
          <w:color w:val="auto"/>
        </w:rPr>
      </w:pPr>
    </w:p>
    <w:p w14:paraId="009245D6" w14:textId="284E8F58" w:rsidR="00682178" w:rsidRDefault="00682178" w:rsidP="00BF36B0">
      <w:pPr>
        <w:rPr>
          <w:color w:val="auto"/>
        </w:rPr>
      </w:pPr>
      <w:r w:rsidRPr="00A16CA1">
        <w:rPr>
          <w:color w:val="auto"/>
        </w:rPr>
        <w:t>Mr. Williams sought suggestions for upcoming agenda items, as well as any final questions or comments. Glenna Laughlin provided an update, indicating that the final report is currently under review at the Commissioner’s office.</w:t>
      </w:r>
      <w:r w:rsidR="00A16CA1" w:rsidRPr="00A16CA1">
        <w:rPr>
          <w:color w:val="auto"/>
        </w:rPr>
        <w:t xml:space="preserve"> </w:t>
      </w:r>
      <w:r w:rsidRPr="00A16CA1">
        <w:rPr>
          <w:color w:val="auto"/>
        </w:rPr>
        <w:t>Mr. Williams inquired about the cap on the Charity chair provider, questioning whether the amount could be increased administratively or legislatively, expressing a preference for an administrative adjustment.</w:t>
      </w:r>
    </w:p>
    <w:p w14:paraId="7FC8A9FE" w14:textId="77777777" w:rsidR="004B6DB2" w:rsidRDefault="004B6DB2" w:rsidP="00BF36B0">
      <w:pPr>
        <w:rPr>
          <w:color w:val="auto"/>
        </w:rPr>
      </w:pPr>
    </w:p>
    <w:p w14:paraId="6F80B849" w14:textId="2604D0C0" w:rsidR="00C33007" w:rsidRDefault="00BF36B0" w:rsidP="00BF36B0">
      <w:pPr>
        <w:rPr>
          <w:b/>
          <w:color w:val="auto"/>
        </w:rPr>
      </w:pPr>
      <w:r w:rsidRPr="00F05395">
        <w:rPr>
          <w:b/>
          <w:color w:val="auto"/>
        </w:rPr>
        <w:t>Adjourn</w:t>
      </w:r>
      <w:r w:rsidR="00C33007" w:rsidRPr="00F05395">
        <w:rPr>
          <w:b/>
          <w:color w:val="auto"/>
        </w:rPr>
        <w:t>:</w:t>
      </w:r>
    </w:p>
    <w:p w14:paraId="21C911EB" w14:textId="77777777" w:rsidR="0028522B" w:rsidRPr="00F05395" w:rsidRDefault="0028522B" w:rsidP="00BF36B0">
      <w:pPr>
        <w:rPr>
          <w:b/>
          <w:color w:val="auto"/>
        </w:rPr>
      </w:pPr>
    </w:p>
    <w:p w14:paraId="490CA773" w14:textId="0E484D14" w:rsidR="00682178" w:rsidRDefault="00995FC7" w:rsidP="00BF36B0">
      <w:pPr>
        <w:tabs>
          <w:tab w:val="left" w:pos="360"/>
          <w:tab w:val="left" w:pos="720"/>
        </w:tabs>
        <w:autoSpaceDE w:val="0"/>
        <w:autoSpaceDN w:val="0"/>
        <w:adjustRightInd w:val="0"/>
        <w:jc w:val="both"/>
        <w:rPr>
          <w:rFonts w:ascii="Verdana" w:hAnsi="Verdana"/>
        </w:rPr>
      </w:pPr>
      <w:r>
        <w:rPr>
          <w:rFonts w:ascii="Verdana" w:hAnsi="Verdana"/>
        </w:rPr>
        <w:t>Dr.</w:t>
      </w:r>
      <w:r w:rsidR="00E94149">
        <w:rPr>
          <w:rFonts w:ascii="Verdana" w:hAnsi="Verdana"/>
        </w:rPr>
        <w:t xml:space="preserve"> </w:t>
      </w:r>
      <w:r w:rsidR="008534C5">
        <w:rPr>
          <w:rFonts w:ascii="Verdana" w:hAnsi="Verdana"/>
        </w:rPr>
        <w:t xml:space="preserve">Jennifer Griffith </w:t>
      </w:r>
      <w:r w:rsidR="00F85A3C">
        <w:rPr>
          <w:rFonts w:ascii="Verdana" w:hAnsi="Verdana"/>
        </w:rPr>
        <w:t xml:space="preserve">motioned to </w:t>
      </w:r>
      <w:r w:rsidR="0028522B">
        <w:rPr>
          <w:rFonts w:ascii="Verdana" w:hAnsi="Verdana"/>
        </w:rPr>
        <w:t>adjourn</w:t>
      </w:r>
      <w:r>
        <w:rPr>
          <w:rFonts w:ascii="Verdana" w:hAnsi="Verdana"/>
        </w:rPr>
        <w:t xml:space="preserve"> the meeting</w:t>
      </w:r>
      <w:r w:rsidR="0028522B">
        <w:rPr>
          <w:rFonts w:ascii="Verdana" w:hAnsi="Verdana"/>
        </w:rPr>
        <w:t>,</w:t>
      </w:r>
      <w:r w:rsidR="00F85A3C">
        <w:rPr>
          <w:rFonts w:ascii="Verdana" w:hAnsi="Verdana"/>
        </w:rPr>
        <w:t xml:space="preserve"> and </w:t>
      </w:r>
      <w:r w:rsidR="00A16CA1">
        <w:rPr>
          <w:rFonts w:ascii="Verdana" w:hAnsi="Verdana"/>
        </w:rPr>
        <w:t xml:space="preserve">Ms. </w:t>
      </w:r>
      <w:r>
        <w:rPr>
          <w:rFonts w:ascii="Verdana" w:hAnsi="Verdana"/>
        </w:rPr>
        <w:t xml:space="preserve">Dick </w:t>
      </w:r>
      <w:r w:rsidR="00F85A3C">
        <w:rPr>
          <w:rFonts w:ascii="Verdana" w:hAnsi="Verdana"/>
        </w:rPr>
        <w:t>seconded the motion. The committee voted to adjourn and Chair, Mr.</w:t>
      </w:r>
      <w:r w:rsidR="004A2EFD">
        <w:rPr>
          <w:rFonts w:ascii="Verdana" w:hAnsi="Verdana"/>
        </w:rPr>
        <w:t xml:space="preserve"> </w:t>
      </w:r>
      <w:r w:rsidR="00F85A3C">
        <w:rPr>
          <w:rFonts w:ascii="Verdana" w:hAnsi="Verdana"/>
        </w:rPr>
        <w:t>Williams adjourned the meeting at 11:</w:t>
      </w:r>
      <w:r w:rsidR="008534C5">
        <w:rPr>
          <w:rFonts w:ascii="Verdana" w:hAnsi="Verdana"/>
        </w:rPr>
        <w:t>15</w:t>
      </w:r>
      <w:r w:rsidR="00F85A3C">
        <w:rPr>
          <w:rFonts w:ascii="Verdana" w:hAnsi="Verdana"/>
        </w:rPr>
        <w:t>am.</w:t>
      </w:r>
    </w:p>
    <w:p w14:paraId="42D8D7E6" w14:textId="77777777" w:rsidR="00F85A3C" w:rsidRPr="006E51FE" w:rsidRDefault="00F85A3C" w:rsidP="00BF36B0">
      <w:pPr>
        <w:tabs>
          <w:tab w:val="left" w:pos="360"/>
          <w:tab w:val="left" w:pos="720"/>
        </w:tabs>
        <w:autoSpaceDE w:val="0"/>
        <w:autoSpaceDN w:val="0"/>
        <w:adjustRightInd w:val="0"/>
        <w:jc w:val="both"/>
        <w:rPr>
          <w:color w:val="FF0000"/>
        </w:rPr>
      </w:pPr>
    </w:p>
    <w:p w14:paraId="08876C84" w14:textId="77777777" w:rsidR="00BF36B0" w:rsidRPr="00F05395" w:rsidRDefault="00BF36B0" w:rsidP="00BF36B0">
      <w:pPr>
        <w:tabs>
          <w:tab w:val="left" w:pos="360"/>
          <w:tab w:val="left" w:pos="720"/>
        </w:tabs>
        <w:autoSpaceDE w:val="0"/>
        <w:autoSpaceDN w:val="0"/>
        <w:adjustRightInd w:val="0"/>
        <w:jc w:val="both"/>
        <w:rPr>
          <w:noProof/>
          <w:color w:val="auto"/>
        </w:rPr>
      </w:pPr>
      <w:r w:rsidRPr="00F05395">
        <w:rPr>
          <w:color w:val="auto"/>
        </w:rPr>
        <w:t>Approved:</w:t>
      </w:r>
      <w:r w:rsidRPr="00F05395">
        <w:rPr>
          <w:noProof/>
          <w:color w:val="auto"/>
        </w:rPr>
        <w:tab/>
      </w:r>
      <w:r w:rsidRPr="00F05395">
        <w:rPr>
          <w:noProof/>
          <w:color w:val="auto"/>
        </w:rPr>
        <w:tab/>
      </w:r>
    </w:p>
    <w:p w14:paraId="4E5AAB37" w14:textId="77777777" w:rsidR="00BF36B0" w:rsidRPr="00F05395" w:rsidRDefault="00BF36B0" w:rsidP="00BF36B0">
      <w:pPr>
        <w:tabs>
          <w:tab w:val="left" w:pos="360"/>
          <w:tab w:val="left" w:pos="720"/>
        </w:tabs>
        <w:autoSpaceDE w:val="0"/>
        <w:autoSpaceDN w:val="0"/>
        <w:adjustRightInd w:val="0"/>
        <w:jc w:val="both"/>
        <w:rPr>
          <w:noProof/>
          <w:color w:val="auto"/>
        </w:rPr>
      </w:pPr>
    </w:p>
    <w:p w14:paraId="07673DB7" w14:textId="77777777" w:rsidR="00BF36B0" w:rsidRPr="00F05395" w:rsidRDefault="00BF36B0" w:rsidP="00BF36B0">
      <w:pPr>
        <w:tabs>
          <w:tab w:val="left" w:pos="360"/>
          <w:tab w:val="left" w:pos="720"/>
        </w:tabs>
        <w:autoSpaceDE w:val="0"/>
        <w:autoSpaceDN w:val="0"/>
        <w:adjustRightInd w:val="0"/>
        <w:jc w:val="both"/>
        <w:rPr>
          <w:color w:val="auto"/>
        </w:rPr>
      </w:pPr>
      <w:r w:rsidRPr="00F05395">
        <w:rPr>
          <w:color w:val="auto"/>
        </w:rPr>
        <w:t>__________________________________________________________</w:t>
      </w:r>
    </w:p>
    <w:p w14:paraId="7A1EF066" w14:textId="60C923D0" w:rsidR="006D70DE" w:rsidRPr="00F05395" w:rsidRDefault="00BF36B0" w:rsidP="00D71871">
      <w:pPr>
        <w:tabs>
          <w:tab w:val="left" w:pos="360"/>
          <w:tab w:val="left" w:pos="720"/>
        </w:tabs>
        <w:autoSpaceDE w:val="0"/>
        <w:autoSpaceDN w:val="0"/>
        <w:adjustRightInd w:val="0"/>
        <w:jc w:val="both"/>
        <w:rPr>
          <w:color w:val="auto"/>
        </w:rPr>
      </w:pPr>
      <w:r w:rsidRPr="00F05395">
        <w:rPr>
          <w:color w:val="auto"/>
        </w:rPr>
        <w:t>Stephen L. Williams, Committee Chair                   Date</w:t>
      </w:r>
    </w:p>
    <w:sectPr w:rsidR="006D70DE" w:rsidRPr="00F05395" w:rsidSect="00FE0BD4">
      <w:headerReference w:type="default" r:id="rId11"/>
      <w:headerReference w:type="first" r:id="rId12"/>
      <w:footerReference w:type="first" r:id="rId13"/>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27A0" w14:textId="77777777" w:rsidR="003D6CA0" w:rsidRDefault="003D6CA0" w:rsidP="00CE404B">
      <w:r>
        <w:separator/>
      </w:r>
    </w:p>
  </w:endnote>
  <w:endnote w:type="continuationSeparator" w:id="0">
    <w:p w14:paraId="27E0BF36" w14:textId="77777777" w:rsidR="003D6CA0" w:rsidRDefault="003D6CA0"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1612F31D"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50787F"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2C2C" w14:textId="77777777" w:rsidR="003D6CA0" w:rsidRDefault="003D6CA0" w:rsidP="00CE404B">
      <w:r>
        <w:separator/>
      </w:r>
    </w:p>
  </w:footnote>
  <w:footnote w:type="continuationSeparator" w:id="0">
    <w:p w14:paraId="480EB490" w14:textId="77777777" w:rsidR="003D6CA0" w:rsidRDefault="003D6CA0"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6F3B147F" w14:textId="58F81162" w:rsidR="002A3CB3" w:rsidRDefault="00307454" w:rsidP="00012332">
    <w:pPr>
      <w:pStyle w:val="Header"/>
    </w:pPr>
    <w:r>
      <w:t>October 16th</w:t>
    </w:r>
    <w:r w:rsidR="005A0919">
      <w:t>, 202</w:t>
    </w:r>
    <w:r w:rsidR="002A3CB3">
      <w:t>4</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01328"/>
    <w:multiLevelType w:val="hybridMultilevel"/>
    <w:tmpl w:val="AA32F0E8"/>
    <w:lvl w:ilvl="0" w:tplc="81A89E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31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064AE"/>
    <w:rsid w:val="00007571"/>
    <w:rsid w:val="0000783F"/>
    <w:rsid w:val="00011734"/>
    <w:rsid w:val="00012332"/>
    <w:rsid w:val="00013393"/>
    <w:rsid w:val="000157B7"/>
    <w:rsid w:val="000225B0"/>
    <w:rsid w:val="00025BD3"/>
    <w:rsid w:val="00027371"/>
    <w:rsid w:val="00032A0C"/>
    <w:rsid w:val="00036944"/>
    <w:rsid w:val="0004311E"/>
    <w:rsid w:val="00044052"/>
    <w:rsid w:val="00044C2F"/>
    <w:rsid w:val="000560A0"/>
    <w:rsid w:val="00057AD0"/>
    <w:rsid w:val="00060F27"/>
    <w:rsid w:val="00064558"/>
    <w:rsid w:val="000722AC"/>
    <w:rsid w:val="00075B98"/>
    <w:rsid w:val="00077B21"/>
    <w:rsid w:val="00080CB3"/>
    <w:rsid w:val="000A5243"/>
    <w:rsid w:val="000A6179"/>
    <w:rsid w:val="000B05BA"/>
    <w:rsid w:val="000B25AB"/>
    <w:rsid w:val="000B2BBD"/>
    <w:rsid w:val="000C2EE5"/>
    <w:rsid w:val="000C5546"/>
    <w:rsid w:val="000C62D1"/>
    <w:rsid w:val="000C6786"/>
    <w:rsid w:val="000C6D86"/>
    <w:rsid w:val="000D54E1"/>
    <w:rsid w:val="000D6597"/>
    <w:rsid w:val="000E0579"/>
    <w:rsid w:val="000E238C"/>
    <w:rsid w:val="000E413A"/>
    <w:rsid w:val="000E4519"/>
    <w:rsid w:val="000F6455"/>
    <w:rsid w:val="00101195"/>
    <w:rsid w:val="001053F7"/>
    <w:rsid w:val="001064D3"/>
    <w:rsid w:val="00111682"/>
    <w:rsid w:val="00111A89"/>
    <w:rsid w:val="00114110"/>
    <w:rsid w:val="001165C3"/>
    <w:rsid w:val="00132B7F"/>
    <w:rsid w:val="00133CEC"/>
    <w:rsid w:val="00137150"/>
    <w:rsid w:val="001412B7"/>
    <w:rsid w:val="00141813"/>
    <w:rsid w:val="001437E3"/>
    <w:rsid w:val="0015270D"/>
    <w:rsid w:val="00154E80"/>
    <w:rsid w:val="001572B0"/>
    <w:rsid w:val="00157F2B"/>
    <w:rsid w:val="00161BBD"/>
    <w:rsid w:val="00162908"/>
    <w:rsid w:val="00164257"/>
    <w:rsid w:val="001665A1"/>
    <w:rsid w:val="0017359F"/>
    <w:rsid w:val="00174497"/>
    <w:rsid w:val="00177DC5"/>
    <w:rsid w:val="00183A71"/>
    <w:rsid w:val="00183C62"/>
    <w:rsid w:val="00184889"/>
    <w:rsid w:val="00186C43"/>
    <w:rsid w:val="00195692"/>
    <w:rsid w:val="001979BE"/>
    <w:rsid w:val="001A19F2"/>
    <w:rsid w:val="001A789B"/>
    <w:rsid w:val="001B5BA8"/>
    <w:rsid w:val="001B6944"/>
    <w:rsid w:val="001B7FA1"/>
    <w:rsid w:val="001C49C8"/>
    <w:rsid w:val="001C727A"/>
    <w:rsid w:val="001E282F"/>
    <w:rsid w:val="001E59A9"/>
    <w:rsid w:val="001E69C6"/>
    <w:rsid w:val="001F135F"/>
    <w:rsid w:val="00205799"/>
    <w:rsid w:val="002058B5"/>
    <w:rsid w:val="002124A7"/>
    <w:rsid w:val="002138A1"/>
    <w:rsid w:val="00214242"/>
    <w:rsid w:val="002145B0"/>
    <w:rsid w:val="00220831"/>
    <w:rsid w:val="0022140F"/>
    <w:rsid w:val="00223024"/>
    <w:rsid w:val="002244DD"/>
    <w:rsid w:val="00245E77"/>
    <w:rsid w:val="00246629"/>
    <w:rsid w:val="00251A73"/>
    <w:rsid w:val="00255C10"/>
    <w:rsid w:val="00257569"/>
    <w:rsid w:val="00265579"/>
    <w:rsid w:val="0028355F"/>
    <w:rsid w:val="00285180"/>
    <w:rsid w:val="0028522B"/>
    <w:rsid w:val="002A2FBC"/>
    <w:rsid w:val="002A3CB3"/>
    <w:rsid w:val="002A6766"/>
    <w:rsid w:val="002B13C1"/>
    <w:rsid w:val="002B5155"/>
    <w:rsid w:val="002C2BA1"/>
    <w:rsid w:val="002C615C"/>
    <w:rsid w:val="002D1C17"/>
    <w:rsid w:val="002F0B8F"/>
    <w:rsid w:val="002F747F"/>
    <w:rsid w:val="003002D4"/>
    <w:rsid w:val="00302387"/>
    <w:rsid w:val="00307454"/>
    <w:rsid w:val="003106CD"/>
    <w:rsid w:val="0031271E"/>
    <w:rsid w:val="00314DA5"/>
    <w:rsid w:val="00315784"/>
    <w:rsid w:val="00320C74"/>
    <w:rsid w:val="00330D7C"/>
    <w:rsid w:val="00332648"/>
    <w:rsid w:val="003345F4"/>
    <w:rsid w:val="00336DD4"/>
    <w:rsid w:val="00341986"/>
    <w:rsid w:val="00345320"/>
    <w:rsid w:val="00347F47"/>
    <w:rsid w:val="00351072"/>
    <w:rsid w:val="00351337"/>
    <w:rsid w:val="00352513"/>
    <w:rsid w:val="003614D1"/>
    <w:rsid w:val="003614F9"/>
    <w:rsid w:val="00361AD9"/>
    <w:rsid w:val="00361D70"/>
    <w:rsid w:val="003702F0"/>
    <w:rsid w:val="003809EF"/>
    <w:rsid w:val="00380EF9"/>
    <w:rsid w:val="00381865"/>
    <w:rsid w:val="00384344"/>
    <w:rsid w:val="00385926"/>
    <w:rsid w:val="00391593"/>
    <w:rsid w:val="003932B0"/>
    <w:rsid w:val="003A2ACB"/>
    <w:rsid w:val="003A31B2"/>
    <w:rsid w:val="003A6687"/>
    <w:rsid w:val="003B2C28"/>
    <w:rsid w:val="003B470A"/>
    <w:rsid w:val="003B480B"/>
    <w:rsid w:val="003C0434"/>
    <w:rsid w:val="003C13EE"/>
    <w:rsid w:val="003C69C3"/>
    <w:rsid w:val="003D337D"/>
    <w:rsid w:val="003D4F8A"/>
    <w:rsid w:val="003D5BED"/>
    <w:rsid w:val="003D6CA0"/>
    <w:rsid w:val="003E17C3"/>
    <w:rsid w:val="003E5069"/>
    <w:rsid w:val="003E729F"/>
    <w:rsid w:val="003F0B8C"/>
    <w:rsid w:val="003F12EA"/>
    <w:rsid w:val="003F2F2A"/>
    <w:rsid w:val="003F4E53"/>
    <w:rsid w:val="003F6DDA"/>
    <w:rsid w:val="003F7EF9"/>
    <w:rsid w:val="00400229"/>
    <w:rsid w:val="00411BEC"/>
    <w:rsid w:val="004151F0"/>
    <w:rsid w:val="004178BA"/>
    <w:rsid w:val="00424B13"/>
    <w:rsid w:val="00444F98"/>
    <w:rsid w:val="0044731A"/>
    <w:rsid w:val="00450EC8"/>
    <w:rsid w:val="00454CCA"/>
    <w:rsid w:val="00465DA6"/>
    <w:rsid w:val="00466F3C"/>
    <w:rsid w:val="004711E8"/>
    <w:rsid w:val="00474300"/>
    <w:rsid w:val="0048126B"/>
    <w:rsid w:val="00481433"/>
    <w:rsid w:val="00481BE8"/>
    <w:rsid w:val="00484003"/>
    <w:rsid w:val="00485F6A"/>
    <w:rsid w:val="00487324"/>
    <w:rsid w:val="00493588"/>
    <w:rsid w:val="00494A3C"/>
    <w:rsid w:val="00496C00"/>
    <w:rsid w:val="00497391"/>
    <w:rsid w:val="004979B1"/>
    <w:rsid w:val="004A0EC5"/>
    <w:rsid w:val="004A2EFD"/>
    <w:rsid w:val="004A3770"/>
    <w:rsid w:val="004A3CC6"/>
    <w:rsid w:val="004B0EE7"/>
    <w:rsid w:val="004B6B55"/>
    <w:rsid w:val="004B6DB2"/>
    <w:rsid w:val="004C5079"/>
    <w:rsid w:val="004C5B64"/>
    <w:rsid w:val="004C76E1"/>
    <w:rsid w:val="004F0D4B"/>
    <w:rsid w:val="004F3E0E"/>
    <w:rsid w:val="00501964"/>
    <w:rsid w:val="0050369D"/>
    <w:rsid w:val="00505287"/>
    <w:rsid w:val="005056B5"/>
    <w:rsid w:val="0050787F"/>
    <w:rsid w:val="00512CFC"/>
    <w:rsid w:val="005165FA"/>
    <w:rsid w:val="00516EF9"/>
    <w:rsid w:val="00522322"/>
    <w:rsid w:val="00533497"/>
    <w:rsid w:val="005368A0"/>
    <w:rsid w:val="0054456A"/>
    <w:rsid w:val="00551021"/>
    <w:rsid w:val="00552ECE"/>
    <w:rsid w:val="005538A6"/>
    <w:rsid w:val="00555ABC"/>
    <w:rsid w:val="00555ECF"/>
    <w:rsid w:val="0056286B"/>
    <w:rsid w:val="00571EA3"/>
    <w:rsid w:val="00573A41"/>
    <w:rsid w:val="0057600B"/>
    <w:rsid w:val="005778D1"/>
    <w:rsid w:val="00590942"/>
    <w:rsid w:val="005912C4"/>
    <w:rsid w:val="005930DF"/>
    <w:rsid w:val="00597BE4"/>
    <w:rsid w:val="005A0919"/>
    <w:rsid w:val="005A2127"/>
    <w:rsid w:val="005A5D5C"/>
    <w:rsid w:val="005C3088"/>
    <w:rsid w:val="005C4EC6"/>
    <w:rsid w:val="005C5CC5"/>
    <w:rsid w:val="005E018F"/>
    <w:rsid w:val="005E1C73"/>
    <w:rsid w:val="005E3D98"/>
    <w:rsid w:val="005E4374"/>
    <w:rsid w:val="005F7E0D"/>
    <w:rsid w:val="00604629"/>
    <w:rsid w:val="00605089"/>
    <w:rsid w:val="00607F37"/>
    <w:rsid w:val="00612D4C"/>
    <w:rsid w:val="00617343"/>
    <w:rsid w:val="0061789F"/>
    <w:rsid w:val="00623F72"/>
    <w:rsid w:val="00626F0C"/>
    <w:rsid w:val="006272E7"/>
    <w:rsid w:val="00630C02"/>
    <w:rsid w:val="00633B15"/>
    <w:rsid w:val="0063447A"/>
    <w:rsid w:val="006409B1"/>
    <w:rsid w:val="00652959"/>
    <w:rsid w:val="00657727"/>
    <w:rsid w:val="006603E7"/>
    <w:rsid w:val="00662611"/>
    <w:rsid w:val="00666C00"/>
    <w:rsid w:val="0067017C"/>
    <w:rsid w:val="00674ED5"/>
    <w:rsid w:val="0067616F"/>
    <w:rsid w:val="006806C8"/>
    <w:rsid w:val="00682178"/>
    <w:rsid w:val="006837DB"/>
    <w:rsid w:val="006838AD"/>
    <w:rsid w:val="006843CE"/>
    <w:rsid w:val="00687E38"/>
    <w:rsid w:val="0069119E"/>
    <w:rsid w:val="00692488"/>
    <w:rsid w:val="00694494"/>
    <w:rsid w:val="00695FF0"/>
    <w:rsid w:val="00697064"/>
    <w:rsid w:val="00697121"/>
    <w:rsid w:val="00697235"/>
    <w:rsid w:val="006B13ED"/>
    <w:rsid w:val="006B2988"/>
    <w:rsid w:val="006B4E1A"/>
    <w:rsid w:val="006B4FA2"/>
    <w:rsid w:val="006C0068"/>
    <w:rsid w:val="006C2AF3"/>
    <w:rsid w:val="006D70DE"/>
    <w:rsid w:val="006E213F"/>
    <w:rsid w:val="006E2C24"/>
    <w:rsid w:val="006E51FE"/>
    <w:rsid w:val="006F632E"/>
    <w:rsid w:val="007010C0"/>
    <w:rsid w:val="007011D3"/>
    <w:rsid w:val="0071203C"/>
    <w:rsid w:val="0072087B"/>
    <w:rsid w:val="00723FC5"/>
    <w:rsid w:val="007260B2"/>
    <w:rsid w:val="0073162D"/>
    <w:rsid w:val="00732703"/>
    <w:rsid w:val="00735F1A"/>
    <w:rsid w:val="00736C1F"/>
    <w:rsid w:val="00741E71"/>
    <w:rsid w:val="00741EF7"/>
    <w:rsid w:val="007614E0"/>
    <w:rsid w:val="0076554B"/>
    <w:rsid w:val="00773463"/>
    <w:rsid w:val="00776735"/>
    <w:rsid w:val="0077677B"/>
    <w:rsid w:val="007834DD"/>
    <w:rsid w:val="007A36F8"/>
    <w:rsid w:val="007A60D4"/>
    <w:rsid w:val="007B0635"/>
    <w:rsid w:val="007D2847"/>
    <w:rsid w:val="007D342B"/>
    <w:rsid w:val="007D69B4"/>
    <w:rsid w:val="007D6E63"/>
    <w:rsid w:val="007E6661"/>
    <w:rsid w:val="007F6C8B"/>
    <w:rsid w:val="008036BA"/>
    <w:rsid w:val="00804EF5"/>
    <w:rsid w:val="008128BA"/>
    <w:rsid w:val="00814589"/>
    <w:rsid w:val="00822FB9"/>
    <w:rsid w:val="00823794"/>
    <w:rsid w:val="008350AA"/>
    <w:rsid w:val="008439D5"/>
    <w:rsid w:val="00843D6B"/>
    <w:rsid w:val="00844617"/>
    <w:rsid w:val="0085208B"/>
    <w:rsid w:val="008534C5"/>
    <w:rsid w:val="00854125"/>
    <w:rsid w:val="00854458"/>
    <w:rsid w:val="0086143D"/>
    <w:rsid w:val="0086319C"/>
    <w:rsid w:val="00863400"/>
    <w:rsid w:val="0086353F"/>
    <w:rsid w:val="0086597F"/>
    <w:rsid w:val="00867C71"/>
    <w:rsid w:val="008720DA"/>
    <w:rsid w:val="00874DD6"/>
    <w:rsid w:val="00885A2A"/>
    <w:rsid w:val="008923D7"/>
    <w:rsid w:val="00896AE2"/>
    <w:rsid w:val="00897E74"/>
    <w:rsid w:val="008A3202"/>
    <w:rsid w:val="008B2565"/>
    <w:rsid w:val="008B5708"/>
    <w:rsid w:val="008C3A59"/>
    <w:rsid w:val="008C4D5C"/>
    <w:rsid w:val="008C6288"/>
    <w:rsid w:val="008C716E"/>
    <w:rsid w:val="008D16DD"/>
    <w:rsid w:val="008E5995"/>
    <w:rsid w:val="008E6600"/>
    <w:rsid w:val="008F4B4D"/>
    <w:rsid w:val="00900DD5"/>
    <w:rsid w:val="00901E2E"/>
    <w:rsid w:val="00903CFF"/>
    <w:rsid w:val="00904820"/>
    <w:rsid w:val="0091202E"/>
    <w:rsid w:val="009143CA"/>
    <w:rsid w:val="00915742"/>
    <w:rsid w:val="00915EAB"/>
    <w:rsid w:val="0092675E"/>
    <w:rsid w:val="00932F44"/>
    <w:rsid w:val="00933E0C"/>
    <w:rsid w:val="0093517A"/>
    <w:rsid w:val="00941E77"/>
    <w:rsid w:val="00942885"/>
    <w:rsid w:val="00953104"/>
    <w:rsid w:val="00955603"/>
    <w:rsid w:val="00964AAA"/>
    <w:rsid w:val="00970CA5"/>
    <w:rsid w:val="00985223"/>
    <w:rsid w:val="0098769E"/>
    <w:rsid w:val="00995FC7"/>
    <w:rsid w:val="00995FFB"/>
    <w:rsid w:val="009A6188"/>
    <w:rsid w:val="009B12CC"/>
    <w:rsid w:val="009B2692"/>
    <w:rsid w:val="009B3196"/>
    <w:rsid w:val="009B63FA"/>
    <w:rsid w:val="009D37C8"/>
    <w:rsid w:val="009E5CE6"/>
    <w:rsid w:val="009F168A"/>
    <w:rsid w:val="009F34F8"/>
    <w:rsid w:val="009F5FAD"/>
    <w:rsid w:val="00A04DAE"/>
    <w:rsid w:val="00A06440"/>
    <w:rsid w:val="00A16CA1"/>
    <w:rsid w:val="00A21515"/>
    <w:rsid w:val="00A22E4D"/>
    <w:rsid w:val="00A233E2"/>
    <w:rsid w:val="00A2388E"/>
    <w:rsid w:val="00A26D02"/>
    <w:rsid w:val="00A33577"/>
    <w:rsid w:val="00A356E9"/>
    <w:rsid w:val="00A41109"/>
    <w:rsid w:val="00A4119B"/>
    <w:rsid w:val="00A41F0A"/>
    <w:rsid w:val="00A43C42"/>
    <w:rsid w:val="00A559F9"/>
    <w:rsid w:val="00A674FE"/>
    <w:rsid w:val="00A745BE"/>
    <w:rsid w:val="00A74A51"/>
    <w:rsid w:val="00A811A6"/>
    <w:rsid w:val="00A92D1A"/>
    <w:rsid w:val="00A94873"/>
    <w:rsid w:val="00A94E0A"/>
    <w:rsid w:val="00AA7E02"/>
    <w:rsid w:val="00AB239A"/>
    <w:rsid w:val="00AC1FD4"/>
    <w:rsid w:val="00AC2244"/>
    <w:rsid w:val="00AC4E64"/>
    <w:rsid w:val="00AC5B09"/>
    <w:rsid w:val="00AD29FA"/>
    <w:rsid w:val="00AD2F51"/>
    <w:rsid w:val="00AD3C00"/>
    <w:rsid w:val="00AD73BD"/>
    <w:rsid w:val="00AE31B4"/>
    <w:rsid w:val="00AE4406"/>
    <w:rsid w:val="00AE716A"/>
    <w:rsid w:val="00AF0E3B"/>
    <w:rsid w:val="00AF2D95"/>
    <w:rsid w:val="00B008BD"/>
    <w:rsid w:val="00B0516A"/>
    <w:rsid w:val="00B05A60"/>
    <w:rsid w:val="00B10BDE"/>
    <w:rsid w:val="00B158AD"/>
    <w:rsid w:val="00B22773"/>
    <w:rsid w:val="00B242D6"/>
    <w:rsid w:val="00B2667A"/>
    <w:rsid w:val="00B31265"/>
    <w:rsid w:val="00B333E1"/>
    <w:rsid w:val="00B36B68"/>
    <w:rsid w:val="00B40B80"/>
    <w:rsid w:val="00B41047"/>
    <w:rsid w:val="00B4607A"/>
    <w:rsid w:val="00B53B07"/>
    <w:rsid w:val="00B62D27"/>
    <w:rsid w:val="00B64D39"/>
    <w:rsid w:val="00B734E4"/>
    <w:rsid w:val="00B81E8B"/>
    <w:rsid w:val="00B86836"/>
    <w:rsid w:val="00B91755"/>
    <w:rsid w:val="00B939E0"/>
    <w:rsid w:val="00B94195"/>
    <w:rsid w:val="00B948F6"/>
    <w:rsid w:val="00B94E6C"/>
    <w:rsid w:val="00B94FE1"/>
    <w:rsid w:val="00BB533D"/>
    <w:rsid w:val="00BB5A3D"/>
    <w:rsid w:val="00BB7654"/>
    <w:rsid w:val="00BC1DDE"/>
    <w:rsid w:val="00BC2559"/>
    <w:rsid w:val="00BC30BC"/>
    <w:rsid w:val="00BC30DC"/>
    <w:rsid w:val="00BC580F"/>
    <w:rsid w:val="00BE2ED0"/>
    <w:rsid w:val="00BE508B"/>
    <w:rsid w:val="00BE657D"/>
    <w:rsid w:val="00BF02F2"/>
    <w:rsid w:val="00BF36B0"/>
    <w:rsid w:val="00BF4DE4"/>
    <w:rsid w:val="00BF6167"/>
    <w:rsid w:val="00BF641C"/>
    <w:rsid w:val="00C12DAE"/>
    <w:rsid w:val="00C147C4"/>
    <w:rsid w:val="00C14AC9"/>
    <w:rsid w:val="00C21B57"/>
    <w:rsid w:val="00C232CB"/>
    <w:rsid w:val="00C33007"/>
    <w:rsid w:val="00C35DF6"/>
    <w:rsid w:val="00C40B94"/>
    <w:rsid w:val="00C42166"/>
    <w:rsid w:val="00C449DB"/>
    <w:rsid w:val="00C44BDD"/>
    <w:rsid w:val="00C551B1"/>
    <w:rsid w:val="00C5727B"/>
    <w:rsid w:val="00C66D21"/>
    <w:rsid w:val="00C7483E"/>
    <w:rsid w:val="00C773A5"/>
    <w:rsid w:val="00C7773B"/>
    <w:rsid w:val="00C82359"/>
    <w:rsid w:val="00C85422"/>
    <w:rsid w:val="00C86ACE"/>
    <w:rsid w:val="00C94950"/>
    <w:rsid w:val="00CA00A3"/>
    <w:rsid w:val="00CA5568"/>
    <w:rsid w:val="00CB3B8A"/>
    <w:rsid w:val="00CB5AF0"/>
    <w:rsid w:val="00CB76D6"/>
    <w:rsid w:val="00CB7B56"/>
    <w:rsid w:val="00CC2307"/>
    <w:rsid w:val="00CC4343"/>
    <w:rsid w:val="00CD03EF"/>
    <w:rsid w:val="00CD5892"/>
    <w:rsid w:val="00CD75C5"/>
    <w:rsid w:val="00CE01D7"/>
    <w:rsid w:val="00CE065C"/>
    <w:rsid w:val="00CE404B"/>
    <w:rsid w:val="00CF5023"/>
    <w:rsid w:val="00D01B79"/>
    <w:rsid w:val="00D03DCF"/>
    <w:rsid w:val="00D04406"/>
    <w:rsid w:val="00D07164"/>
    <w:rsid w:val="00D169B3"/>
    <w:rsid w:val="00D20BBE"/>
    <w:rsid w:val="00D21F93"/>
    <w:rsid w:val="00D22869"/>
    <w:rsid w:val="00D2506C"/>
    <w:rsid w:val="00D31BD9"/>
    <w:rsid w:val="00D3594A"/>
    <w:rsid w:val="00D421DF"/>
    <w:rsid w:val="00D44961"/>
    <w:rsid w:val="00D55A7E"/>
    <w:rsid w:val="00D61A81"/>
    <w:rsid w:val="00D71040"/>
    <w:rsid w:val="00D711AD"/>
    <w:rsid w:val="00D7120C"/>
    <w:rsid w:val="00D71871"/>
    <w:rsid w:val="00D7261A"/>
    <w:rsid w:val="00D765D6"/>
    <w:rsid w:val="00D83F87"/>
    <w:rsid w:val="00D85B7E"/>
    <w:rsid w:val="00D85FA6"/>
    <w:rsid w:val="00D87489"/>
    <w:rsid w:val="00DA6C3E"/>
    <w:rsid w:val="00DB1B5F"/>
    <w:rsid w:val="00DB20F5"/>
    <w:rsid w:val="00DB4DE7"/>
    <w:rsid w:val="00DC078E"/>
    <w:rsid w:val="00DC4C3C"/>
    <w:rsid w:val="00DC5DEE"/>
    <w:rsid w:val="00DD4B65"/>
    <w:rsid w:val="00DE1286"/>
    <w:rsid w:val="00DE1C9F"/>
    <w:rsid w:val="00DE2AAB"/>
    <w:rsid w:val="00DE2CAD"/>
    <w:rsid w:val="00DE4F03"/>
    <w:rsid w:val="00DE6677"/>
    <w:rsid w:val="00DE7F8E"/>
    <w:rsid w:val="00E0286D"/>
    <w:rsid w:val="00E10699"/>
    <w:rsid w:val="00E176C6"/>
    <w:rsid w:val="00E20A65"/>
    <w:rsid w:val="00E233AF"/>
    <w:rsid w:val="00E26709"/>
    <w:rsid w:val="00E332FE"/>
    <w:rsid w:val="00E55777"/>
    <w:rsid w:val="00E5665D"/>
    <w:rsid w:val="00E5765A"/>
    <w:rsid w:val="00E640A7"/>
    <w:rsid w:val="00E72052"/>
    <w:rsid w:val="00E734FA"/>
    <w:rsid w:val="00E76A68"/>
    <w:rsid w:val="00E8566F"/>
    <w:rsid w:val="00E856B7"/>
    <w:rsid w:val="00E85E9C"/>
    <w:rsid w:val="00E87402"/>
    <w:rsid w:val="00E900C8"/>
    <w:rsid w:val="00E94149"/>
    <w:rsid w:val="00EB4AF6"/>
    <w:rsid w:val="00EB6ACC"/>
    <w:rsid w:val="00EC4FF9"/>
    <w:rsid w:val="00EC6923"/>
    <w:rsid w:val="00EE0932"/>
    <w:rsid w:val="00EE260B"/>
    <w:rsid w:val="00EE3234"/>
    <w:rsid w:val="00EE711A"/>
    <w:rsid w:val="00EF4AE1"/>
    <w:rsid w:val="00EF4C4C"/>
    <w:rsid w:val="00F01733"/>
    <w:rsid w:val="00F025F3"/>
    <w:rsid w:val="00F05395"/>
    <w:rsid w:val="00F148F6"/>
    <w:rsid w:val="00F211DB"/>
    <w:rsid w:val="00F227B6"/>
    <w:rsid w:val="00F31A38"/>
    <w:rsid w:val="00F32B87"/>
    <w:rsid w:val="00F4002F"/>
    <w:rsid w:val="00F4466D"/>
    <w:rsid w:val="00F50B6F"/>
    <w:rsid w:val="00F5180F"/>
    <w:rsid w:val="00F55258"/>
    <w:rsid w:val="00F571B4"/>
    <w:rsid w:val="00F57C61"/>
    <w:rsid w:val="00F64537"/>
    <w:rsid w:val="00F6793C"/>
    <w:rsid w:val="00F73FD6"/>
    <w:rsid w:val="00F758B8"/>
    <w:rsid w:val="00F75F44"/>
    <w:rsid w:val="00F768D7"/>
    <w:rsid w:val="00F84742"/>
    <w:rsid w:val="00F85A3C"/>
    <w:rsid w:val="00F917A8"/>
    <w:rsid w:val="00F931A5"/>
    <w:rsid w:val="00F93E44"/>
    <w:rsid w:val="00F97C46"/>
    <w:rsid w:val="00FA1516"/>
    <w:rsid w:val="00FA3542"/>
    <w:rsid w:val="00FA40D5"/>
    <w:rsid w:val="00FA5A09"/>
    <w:rsid w:val="00FC329B"/>
    <w:rsid w:val="00FD0469"/>
    <w:rsid w:val="00FD1145"/>
    <w:rsid w:val="00FE0BD4"/>
    <w:rsid w:val="00FE3050"/>
    <w:rsid w:val="00FE454D"/>
    <w:rsid w:val="00FE4FB2"/>
    <w:rsid w:val="00FE55A5"/>
    <w:rsid w:val="00FF1BE3"/>
    <w:rsid w:val="00FF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1A664"/>
  <w15:docId w15:val="{3A374B7D-D571-463E-B8FC-B061A70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2C2BA1"/>
    <w:pPr>
      <w:ind w:left="720"/>
      <w:contextualSpacing/>
    </w:pPr>
  </w:style>
  <w:style w:type="character" w:styleId="CommentReference">
    <w:name w:val="annotation reference"/>
    <w:basedOn w:val="DefaultParagraphFont"/>
    <w:uiPriority w:val="99"/>
    <w:semiHidden/>
    <w:unhideWhenUsed/>
    <w:rsid w:val="00474300"/>
    <w:rPr>
      <w:sz w:val="16"/>
      <w:szCs w:val="16"/>
    </w:rPr>
  </w:style>
  <w:style w:type="paragraph" w:styleId="CommentText">
    <w:name w:val="annotation text"/>
    <w:basedOn w:val="Normal"/>
    <w:link w:val="CommentTextChar"/>
    <w:uiPriority w:val="99"/>
    <w:unhideWhenUsed/>
    <w:rsid w:val="00474300"/>
    <w:rPr>
      <w:sz w:val="20"/>
      <w:szCs w:val="20"/>
    </w:rPr>
  </w:style>
  <w:style w:type="character" w:customStyle="1" w:styleId="CommentTextChar">
    <w:name w:val="Comment Text Char"/>
    <w:basedOn w:val="DefaultParagraphFont"/>
    <w:link w:val="CommentText"/>
    <w:uiPriority w:val="99"/>
    <w:rsid w:val="00474300"/>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474300"/>
    <w:rPr>
      <w:b/>
      <w:bCs/>
    </w:rPr>
  </w:style>
  <w:style w:type="character" w:customStyle="1" w:styleId="CommentSubjectChar">
    <w:name w:val="Comment Subject Char"/>
    <w:basedOn w:val="CommentTextChar"/>
    <w:link w:val="CommentSubject"/>
    <w:uiPriority w:val="99"/>
    <w:semiHidden/>
    <w:rsid w:val="00474300"/>
    <w:rPr>
      <w:b/>
      <w:bCs/>
      <w:color w:val="000000" w:themeColor="text2"/>
      <w:sz w:val="20"/>
      <w:szCs w:val="20"/>
    </w:rPr>
  </w:style>
  <w:style w:type="paragraph" w:styleId="Revision">
    <w:name w:val="Revision"/>
    <w:hidden/>
    <w:uiPriority w:val="99"/>
    <w:semiHidden/>
    <w:rsid w:val="00474300"/>
    <w:rPr>
      <w:color w:val="00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6609">
      <w:bodyDiv w:val="1"/>
      <w:marLeft w:val="0"/>
      <w:marRight w:val="0"/>
      <w:marTop w:val="0"/>
      <w:marBottom w:val="0"/>
      <w:divBdr>
        <w:top w:val="none" w:sz="0" w:space="0" w:color="auto"/>
        <w:left w:val="none" w:sz="0" w:space="0" w:color="auto"/>
        <w:bottom w:val="none" w:sz="0" w:space="0" w:color="auto"/>
        <w:right w:val="none" w:sz="0" w:space="0" w:color="auto"/>
      </w:divBdr>
    </w:div>
    <w:div w:id="645402299">
      <w:bodyDiv w:val="1"/>
      <w:marLeft w:val="0"/>
      <w:marRight w:val="0"/>
      <w:marTop w:val="0"/>
      <w:marBottom w:val="0"/>
      <w:divBdr>
        <w:top w:val="none" w:sz="0" w:space="0" w:color="auto"/>
        <w:left w:val="none" w:sz="0" w:space="0" w:color="auto"/>
        <w:bottom w:val="none" w:sz="0" w:space="0" w:color="auto"/>
        <w:right w:val="none" w:sz="0" w:space="0" w:color="auto"/>
      </w:divBdr>
    </w:div>
    <w:div w:id="663704255">
      <w:bodyDiv w:val="1"/>
      <w:marLeft w:val="0"/>
      <w:marRight w:val="0"/>
      <w:marTop w:val="0"/>
      <w:marBottom w:val="0"/>
      <w:divBdr>
        <w:top w:val="none" w:sz="0" w:space="0" w:color="auto"/>
        <w:left w:val="none" w:sz="0" w:space="0" w:color="auto"/>
        <w:bottom w:val="none" w:sz="0" w:space="0" w:color="auto"/>
        <w:right w:val="none" w:sz="0" w:space="0" w:color="auto"/>
      </w:divBdr>
    </w:div>
    <w:div w:id="756440420">
      <w:bodyDiv w:val="1"/>
      <w:marLeft w:val="0"/>
      <w:marRight w:val="0"/>
      <w:marTop w:val="0"/>
      <w:marBottom w:val="0"/>
      <w:divBdr>
        <w:top w:val="none" w:sz="0" w:space="0" w:color="auto"/>
        <w:left w:val="none" w:sz="0" w:space="0" w:color="auto"/>
        <w:bottom w:val="none" w:sz="0" w:space="0" w:color="auto"/>
        <w:right w:val="none" w:sz="0" w:space="0" w:color="auto"/>
      </w:divBdr>
    </w:div>
    <w:div w:id="980427010">
      <w:bodyDiv w:val="1"/>
      <w:marLeft w:val="0"/>
      <w:marRight w:val="0"/>
      <w:marTop w:val="0"/>
      <w:marBottom w:val="0"/>
      <w:divBdr>
        <w:top w:val="none" w:sz="0" w:space="0" w:color="auto"/>
        <w:left w:val="none" w:sz="0" w:space="0" w:color="auto"/>
        <w:bottom w:val="none" w:sz="0" w:space="0" w:color="auto"/>
        <w:right w:val="none" w:sz="0" w:space="0" w:color="auto"/>
      </w:divBdr>
    </w:div>
    <w:div w:id="1061904733">
      <w:bodyDiv w:val="1"/>
      <w:marLeft w:val="0"/>
      <w:marRight w:val="0"/>
      <w:marTop w:val="0"/>
      <w:marBottom w:val="0"/>
      <w:divBdr>
        <w:top w:val="none" w:sz="0" w:space="0" w:color="auto"/>
        <w:left w:val="none" w:sz="0" w:space="0" w:color="auto"/>
        <w:bottom w:val="none" w:sz="0" w:space="0" w:color="auto"/>
        <w:right w:val="none" w:sz="0" w:space="0" w:color="auto"/>
      </w:divBdr>
    </w:div>
    <w:div w:id="1085111555">
      <w:bodyDiv w:val="1"/>
      <w:marLeft w:val="0"/>
      <w:marRight w:val="0"/>
      <w:marTop w:val="0"/>
      <w:marBottom w:val="0"/>
      <w:divBdr>
        <w:top w:val="none" w:sz="0" w:space="0" w:color="auto"/>
        <w:left w:val="none" w:sz="0" w:space="0" w:color="auto"/>
        <w:bottom w:val="none" w:sz="0" w:space="0" w:color="auto"/>
        <w:right w:val="none" w:sz="0" w:space="0" w:color="auto"/>
      </w:divBdr>
    </w:div>
    <w:div w:id="1088112731">
      <w:bodyDiv w:val="1"/>
      <w:marLeft w:val="0"/>
      <w:marRight w:val="0"/>
      <w:marTop w:val="0"/>
      <w:marBottom w:val="0"/>
      <w:divBdr>
        <w:top w:val="none" w:sz="0" w:space="0" w:color="auto"/>
        <w:left w:val="none" w:sz="0" w:space="0" w:color="auto"/>
        <w:bottom w:val="none" w:sz="0" w:space="0" w:color="auto"/>
        <w:right w:val="none" w:sz="0" w:space="0" w:color="auto"/>
      </w:divBdr>
    </w:div>
    <w:div w:id="1164009229">
      <w:bodyDiv w:val="1"/>
      <w:marLeft w:val="0"/>
      <w:marRight w:val="0"/>
      <w:marTop w:val="0"/>
      <w:marBottom w:val="0"/>
      <w:divBdr>
        <w:top w:val="none" w:sz="0" w:space="0" w:color="auto"/>
        <w:left w:val="none" w:sz="0" w:space="0" w:color="auto"/>
        <w:bottom w:val="none" w:sz="0" w:space="0" w:color="auto"/>
        <w:right w:val="none" w:sz="0" w:space="0" w:color="auto"/>
      </w:divBdr>
    </w:div>
    <w:div w:id="1346710755">
      <w:bodyDiv w:val="1"/>
      <w:marLeft w:val="0"/>
      <w:marRight w:val="0"/>
      <w:marTop w:val="0"/>
      <w:marBottom w:val="0"/>
      <w:divBdr>
        <w:top w:val="none" w:sz="0" w:space="0" w:color="auto"/>
        <w:left w:val="none" w:sz="0" w:space="0" w:color="auto"/>
        <w:bottom w:val="none" w:sz="0" w:space="0" w:color="auto"/>
        <w:right w:val="none" w:sz="0" w:space="0" w:color="auto"/>
      </w:divBdr>
    </w:div>
    <w:div w:id="1870025266">
      <w:bodyDiv w:val="1"/>
      <w:marLeft w:val="0"/>
      <w:marRight w:val="0"/>
      <w:marTop w:val="0"/>
      <w:marBottom w:val="0"/>
      <w:divBdr>
        <w:top w:val="none" w:sz="0" w:space="0" w:color="auto"/>
        <w:left w:val="none" w:sz="0" w:space="0" w:color="auto"/>
        <w:bottom w:val="none" w:sz="0" w:space="0" w:color="auto"/>
        <w:right w:val="none" w:sz="0" w:space="0" w:color="auto"/>
      </w:divBdr>
    </w:div>
    <w:div w:id="1887327139">
      <w:bodyDiv w:val="1"/>
      <w:marLeft w:val="0"/>
      <w:marRight w:val="0"/>
      <w:marTop w:val="0"/>
      <w:marBottom w:val="0"/>
      <w:divBdr>
        <w:top w:val="none" w:sz="0" w:space="0" w:color="auto"/>
        <w:left w:val="none" w:sz="0" w:space="0" w:color="auto"/>
        <w:bottom w:val="none" w:sz="0" w:space="0" w:color="auto"/>
        <w:right w:val="none" w:sz="0" w:space="0" w:color="auto"/>
      </w:divBdr>
    </w:div>
    <w:div w:id="2117097278">
      <w:bodyDiv w:val="1"/>
      <w:marLeft w:val="0"/>
      <w:marRight w:val="0"/>
      <w:marTop w:val="0"/>
      <w:marBottom w:val="0"/>
      <w:divBdr>
        <w:top w:val="none" w:sz="0" w:space="0" w:color="auto"/>
        <w:left w:val="none" w:sz="0" w:space="0" w:color="auto"/>
        <w:bottom w:val="none" w:sz="0" w:space="0" w:color="auto"/>
        <w:right w:val="none" w:sz="0" w:space="0" w:color="auto"/>
      </w:divBdr>
    </w:div>
    <w:div w:id="213124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F80DE6-065B-4407-8E72-F41379469A50}">
  <ds:schemaRefs>
    <ds:schemaRef ds:uri="http://schemas.openxmlformats.org/officeDocument/2006/bibliography"/>
  </ds:schemaRefs>
</ds:datastoreItem>
</file>

<file path=customXml/itemProps3.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ACF8E-CFDB-4594-9C11-5DCC1256F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dshs-letterhead-color.dotx</Template>
  <TotalTime>0</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2022-09-13T17:20:00Z</cp:lastPrinted>
  <dcterms:created xsi:type="dcterms:W3CDTF">2024-12-12T21:17:00Z</dcterms:created>
  <dcterms:modified xsi:type="dcterms:W3CDTF">2024-12-12T21:17:00Z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